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D-1799/2021 vom 15. März 2022</w:t>
      </w:r>
    </w:p>
    <w:p>
      <w:r>
        <w:t>Bundesverwaltungsgericht, 2022-03-15, DE</w:t>
      </w:r>
    </w:p>
    <w:p>
      <w:r>
        <w:rPr>
          <w:b/>
        </w:rPr>
        <w:t xml:space="preserve">Quelle: </w:t>
      </w:r>
      <w:r>
        <w:t>https://mcp.opencaselaw.ch/entscheid/bvger_D-1799_2021</w:t>
      </w:r>
    </w:p>
    <w:p>
      <w:r>
        <w:t>FR: TAF D-1799/2021 du 15 mars 2022</w:t>
      </w:r>
    </w:p>
    <w:p>
      <w:r>
        <w:t>IT: TAF D-1799/2021 del 15 marzo 2022</w:t>
      </w:r>
    </w:p>
    <w:p>
      <w:pPr>
        <w:pStyle w:val="Heading2"/>
      </w:pPr>
      <w:r>
        <w:t>Regeste</w:t>
      </w:r>
    </w:p>
    <w:p>
      <w:r>
        <w:t>Asyl und Wegweisung</w:t>
      </w:r>
    </w:p>
    <w:p>
      <w:pPr>
        <w:pStyle w:val="Heading2"/>
      </w:pPr>
      <w:r>
        <w:t>Erwägungen</w:t>
      </w:r>
    </w:p>
    <w:p>
      <w:r>
        <w:rPr>
          <w:b/>
        </w:rPr>
        <w:t>E. 1</w:t>
      </w:r>
    </w:p>
    <w:p>
      <w:r>
        <w:t>Juni 2021 eingereichten Gerichtsunterlagen genannte Person in der Tür- kei wegen Terrorpropaganda angeklagt worden ist, dass gleichzeitig vom SEM ausdrücklich anerkannt wird, dass diese Per- son aufgrund dieser Anklage flüchtlingsrechtlich relevante Nachteile zu ge- wärtigen habe, dass diese Schlüsse zur Feststellung der Flüchtlingseigenschaft führen, da nach dem Gesagten kein Zweifel daran besteht, dass sich diese Gerichts- unterlagen und damit die Anklage wegen Terrorpropaganda auf den Be- schwerdeführer beziehen, dass in diesem Zusammenhang der Ordnung halber festzuhalten bleibt, dass der vorinstanzliche Schluss betreffend die flüchtlingsrechtliche Rele- vanz des laufenden Strafverfahrens nicht zu bemängeln ist, zumal mit Blick nicht nur auf die in der Türkei herrschenden Verhältnisse, sondern gerade auch die Tatsache, dass der Beschwerdeführer in der Vergangenheit eben schon einmal mit den heimatlichen Behörden wegen vermuteter E._______- Verbindungen in Konflikt geraten ist, dass dies selbst heute noch zu einer deutlichen Schärfung des behördli- chen Interesses an seiner Person führen dürfte, und zwar ungeachtet sei- nem Freispruch im damaligen Verfahren, dass dem Beschwerdeführer hingegen trotz Feststellung der Flüchtlingsei- genschaft kein Asyl zu gewähren ist, da aufgrund der Aktenlage ausser Frage steht, dass die aktuelle Anklage wegen Terrorpropaganda von den türkischen Behörden einzig wegen seiner exilpolitischen Aktivitäten eröff- net worden ist, mithin ausschliesslich wegen seiner (… [spezifischen Pub- likation]), welche er offenkundig von der Schweiz aus verfasst hat (vgl. dazu im Einzelnen die Akten), dass damit ausschliesslich subjektive Nachfluchtgründe vorliegen, welche zwar die Flüchtlingseigenschaft im Sinne von Art. 3 AsylG begründen, wel- che jedoch gemäss Art. 54 AsylG zum Ausschluss des Asyls führen, und</w:t>
      </w:r>
    </w:p>
    <w:p>
      <w:r>
        <w:t>D-1799/2021 Seite 11 zwar unabhängig davon, ob sie missbräuchlich oder nicht missbräuchlich gesetzt wurden (vgl. BVGE 2009/28 E. 7.1), dass die Beschwerde nach dem Gesagten gutzuheissen ist, soweit die Zu- erkennung der Flüchtlingseigenschaft beantragt wird, dass der Beschwerdeführer als Folge davon als Flüchtling in der Schweiz vorläufig aufzunehmen ist (Art. 83 Abs. 1 und 8 AIG [SR 142.20]), dass die Beschwerde demgegenüber abzuweisen ist, soweit darüber hin- aus eine Asylgewährung beantragt wird, dass die Kosten des Verfahrens und die Parteientschädigung grundsätzlich nach dem Verhältnis von Unterliegen und Obsiegen dem Beschwerdefüh- rer aufzuerlegen beziehungsweise zuzusprechen sind (Art. 63 Abs. 1–3 und Art. 64 Abs. 1 VwVG), dass der Beschwerdeführer bezüglich der Frage der Flüchtlingseigen- schaft und Anordnung des Wegweisungsvollzugs obsiegt hat, er hingegen bezüglich seines Antrags auf Asylgewährung unterlegen ist, dass ihm daher um zwei Drittel reduzierte Verfahrenskosten aufzuerlegen sind, wobei diese Kosten bei vorliegender Verfahrenskonstellation auf Fr. 500.– festzusetzen sind (Art. 63 Abs. 1 VwVG; Art. 1–3 des Reglements vom 21. Februar 2008 über die Kosten und Entschädigungen vor dem Bun- desverwaltungsgericht [VGKE, SR 173.320.2]), dass die Kosten dem am 18. Mai 2021 geleisteten Kostenvorschuss von Fr. 1'500.– zu entnehmen sind, womit dem Beschwerdeführer ein Betrag von Fr. 1'000.– zurückzuerstatten ist, dass der Beschwerdeführer auf der anderen Seite Anspruch auf eine redu- zierte Parteientschädigung für die ihm erwachsenen notwendigen Kosten hat (Art. 64 Abs. 1 VwVG, Art. 7 Abs. 1 und 4 VGKE), dass weder der vormalige Rechtsvertreter noch die heutige Rechtsvertre- terin eine Kostennote eingereicht hat, der notwendige Vertretungsaufwand jedoch aufgrund der Akten hinreichend zuverlässig abgeschätzt werden kann, weshalb das Gericht die Entschädigung aufgrund der Akten festzu- setzten hat (Art. 14 Abs. 2 VGKE),</w:t>
      </w:r>
    </w:p>
    <w:p>
      <w:r>
        <w:t>D-1799/2021 Seite 12 dass vorliegend aufgrund der Aktenlage und unter Berücksichtigung der massgeblichen Bemessungsfaktoren (vgl. Art. 9–13 VGKE) von einem Ge- samtaufwand – soweit dieser als notwendig erscheint (Art. 8 Abs. 1 und 2 VGKE) – von Fr. 1'800.– auszugehen ist (inkl. Auslagen und MwSt), dass dem Beschwerdeführer demnach eine um ein Drittel reduzierte Par- teientschädigung von Fr. 1'200.– zuzusprechen ist, welche ihm durch das SEM auszurichten ist.</w:t>
      </w:r>
    </w:p>
    <w:p>
      <w:r>
        <w:t>(Dispositiv nächste Seite)</w:t>
      </w:r>
    </w:p>
    <w:p>
      <w:r>
        <w:t>D-1799/2021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