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D-1799/2019 vom 14. August 2019</w:t>
      </w:r>
    </w:p>
    <w:p>
      <w:r>
        <w:t>Bundesverwaltungsgericht, 2019-08-14, DE</w:t>
      </w:r>
    </w:p>
    <w:p>
      <w:r>
        <w:rPr>
          <w:b/>
        </w:rPr>
        <w:t xml:space="preserve">Quelle: </w:t>
      </w:r>
      <w:r>
        <w:t>https://mcp.opencaselaw.ch/entscheid/bvger_D-1799_2019</w:t>
      </w:r>
    </w:p>
    <w:p>
      <w:r>
        <w:t>FR: TAF D-1799/2019 du 14 août 2019</w:t>
      </w:r>
    </w:p>
    <w:p>
      <w:r>
        <w:t>IT: TAF D-1799/2019 del 14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nachfolgend die neue Gesetzesbezeichnung verwendet wird.</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(aArt. 108 Abs. 2 AsylG; Art. 105 AsylG i.V.m. Art. 37 VGG und Art. 52 Abs. 1 VwVG).</w:t>
      </w:r>
    </w:p>
    <w:p>
      <w:r>
        <w:rPr>
          <w:b/>
        </w:rPr>
        <w:t>E. 2.1</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49 VwVG (vgl. BVGE 2014/26 E. 5).</w:t>
      </w:r>
    </w:p>
    <w:p>
      <w:r>
        <w:rPr>
          <w:b/>
        </w:rPr>
        <w:t>E. 2.2</w:t>
      </w:r>
    </w:p>
    <w:p>
      <w:r>
        <w:t>Die vorliegende Beschwerde erweist sich - wie nachfolgend aufgezeigt - als offensichtlich unbegründet, weshalb über sie in einzelrichterlicher Zuständigkeit mit Zustimmung eines zweiten Richters zu entscheiden ist (Art. 111 Bst. e AsylG). Der Beschwerdeentscheid ist nur summarisch zu begründen (Art. 111a Abs. 2 AsylG). Auf einen Schriftenwechsel wurde gestützt auf Art. 111a Abs. 1 AsylG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4.1</w:t>
      </w:r>
    </w:p>
    <w:p>
      <w:r>
        <w:t>Das SEM lehnte das Asylgesuch des Beschwerdeführers mit der Begründung ab, seine Vorbringen hielten den Anforderungen an die Glaubhaftigkeit gemäss Art. 7 AsylG nicht stand. So habe er geltend gemacht, er sei von General H._______ persönlich aus dem Gefängnis befreit worden. Seine Angaben zur Befreiung liessen einige Zweifel aufkommen, zumal sie einerseits überaus substanzarm ausgefallen seien und andererseits gesicherten Erkenntnissen des SEM widersprächen. Namentlich habe der Rebellenführer H._______ I._______ seit Jahren im europäischen Exil gelebt und sei im (...) 2016 in J._______ verstorben. Folglich könne weitestgehend ausgeschlossen werden, dass er den Beschwerdeführer im (...) 2016 aus dem Gefängnis befreit habe. Demzufolge erfülle der Beschwerdeführer die Flüchtlingseigenschaft nicht, so dass das Asylgesuch abzulehnen sei. Der Vollzug der Wegweisung sei zulässig, zumutbar und möglich. Für die weiteren Einzelheiten in der Begründung kann zwecks Vermeidung von Wiederholungen auf die Ausführungen in der angefochtenen Verfügung und auf die nachstehenden Erwägungen verwiesen werden.</w:t>
      </w:r>
    </w:p>
    <w:p>
      <w:r>
        <w:rPr>
          <w:b/>
        </w:rPr>
        <w:t>E. 4.2</w:t>
      </w:r>
    </w:p>
    <w:p>
      <w:r>
        <w:t>In der Beschwerde wird geltend gemacht, das SEM habe nicht konkret ausgeführt, inwiefern die Angaben des Beschwerdeführers substanzarm seien. Zudem bestünden offensichtliche Hinweise, dass es sich beim Befreier des Beschwerdeführers nicht um den Rebellenführer der K._______, sondern um eine andere wichtige Persönlichkeit in Angola mit ähnlichem Namen handle: So habe der Beschwerdeführer den charakterisierenden Namen I._______ nie erwähnt. Des Weiteren sei der Rebellenführer (...)-jährig und wäre kaum mehr für den L._______ im Einsatz gewesen. Auch sei der Rebellenführer der K._______ dermassen bekannt, dass er unmöglich einerseits für den L._______, andererseits aber für die K._______ quasi als Spion hätte arbeiten können. Deshalb müsse es sich um einen General tieferen Ranges mit ähnlichem Namen gehandelt haben. Schliesslich sei der Beschwerdeführer zwar darüber befragt worden, ob er sich an den General erinnern könne. Er sei aber nicht darüber befragt worden, wie alt der General, der ihn befreit habe, sei und ob er diesen auf einer Fotografie erkennen könne.</w:t>
      </w:r>
    </w:p>
    <w:p>
      <w:r>
        <w:rPr>
          <w:b/>
        </w:rPr>
        <w:t>E. 4.3</w:t>
      </w:r>
    </w:p>
    <w:p>
      <w:r>
        <w:t>Der Einschätzung des SEM ist zu folgen. Zum einen hat die Vorinstanz unter Hinweis auf entsprechende Protokollstellen (vgl. act. [...]) überzeugend begründet, weshalb aus ihrer Sicht die Angaben des Beschwerdeführers zur Befreiung aus dem Gefängnis überaus substanzarm ausgefallen seien. Zum andern ist eine Verwechslung der Person des Befreiers entgegen den Ausführungen in der Beschwerde auszuschliessen. So gab der Beschwerdeführer zu Protokoll, er hätte den Umschlag General H._______ in C._______ aushändigen sollen. Er sei dann von General H._______ im Gefängnis besucht worden und während (...) Wochen vor seiner Ausreise in dessen Haus untergebracht gewesen (vgl. act. [...]). H._______ sei eine bekannte Person, die im Fernsehen erscheine, und habe ihn mehrmals im Gefängnis besucht (vgl. A37/18 F77). Beim ersten Besuch habe er "ein starkes Gefühl im Herzen" gehabt und gedacht, dass "er ein sehr mächtiger Mann war." H._______ habe ihn gefragt, ob er ihn kenne. Er habe ihm geantwortet, dass er ihn vom Fernsehen, aber nicht persönlich kenne (vgl. a.a.O., F[...]). Am Tag der Ausreise sei der Beschwerdeführer von H._______ abgeholt worden. Er habe ihn das letzte Mal am Flughafen gesehen (vgl. a.a.O., [...]). Bereits aus diesen Gründen erscheint unwahrscheinlich, dass der Beschwerdeführer bezüglich seines angeblichen Befreiers von einem General tieferen Ranges mit ähnlichem Namen gesprochen haben dürfte. Daran vermag nichts zu ändern, dass er den Namen I._______ nicht erwähnte, zumal bei den im portugiesischsprachigen Raum weit verbreiteten Doppelnamen im Alltag sehr oft nur der erste Teil des Doppelnamens verwendet wird. Sodann ist bekannt, das H._______ I._______ bereits ab Ende (...) Kontakte mit der damaligen L._______-Regierung aufnahm (vgl. Lukonde Luansi, Angola: Zwischen regionaler Hegemonie und nationalem Selbstmord, Marburg 2001, S. [...]), weshalb nicht erstaunt, dass er mit dem seit dem Jahr (...) und auch nach der Ausreise des Beschwerdeführers amtierenden, der L._______ angehörenden Staatspräsidenten M._______ im Fernsehen erschien. Somit erübrigte es sich für das SEM, den Beschwerdeführer nach dem Alter seines Befreiers zu fragen oder ihm eine Fotografie zu präsentieren, um ihm damit zu ermöglichen, diesen zu identifizieren.</w:t>
      </w:r>
    </w:p>
    <w:p>
      <w:r>
        <w:rPr>
          <w:b/>
        </w:rPr>
        <w:t>E. 4.4</w:t>
      </w:r>
    </w:p>
    <w:p>
      <w:r>
        <w:t>Nach dem Gesagten ist der Beschwerde nichts zu entnehmen, das die Erwägungen des SEM zur Glaubhaftigkeit der Vorbringen des Beschwerdeführers relativieren oder gar entkräften könnte. Es kann diesbezüglich vollumfänglich auf die überzeugenden Ausführungen in der angefochtenen Verfügung verwiesen werden. Das SEM hat zutreffend festgestellt, der Beschwerdeführer erfülle die Flüchtlingseigenschaft nicht, und hat sein Asylgesuch zu Recht abgelehnt.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Heimatstaat des Beschwerdeführers liegt keine Situation von allgemeiner Gewalt vor, aufgrund derer die Zivilbevölkerung generell als konkret gefährdet bezeichnet werden müsste.</w:t>
      </w:r>
    </w:p>
    <w:p>
      <w:r>
        <w:rPr>
          <w:b/>
        </w:rPr>
        <w:t>E. 6.3.2</w:t>
      </w:r>
    </w:p>
    <w:p>
      <w:r>
        <w:t>Hinsichtlich der persönlichen Situation des Beschwerdeführers bleibt festzuhalten, dass dieser eigenen Angaben zufolge seit er in der Schweiz sei, (...) und manchmal (...) habe, weil er im Gefängnis geschlagen worden sei (vgl. act. [...]). Unter diesen Umständen ist nicht von einer schwerwiegenden Beeinträchtigung des Gesundheitszustands des Beschwerdeführers auszugehen. Daran vermag die zu den Akten gereichte Bestätigung des Termins vom (...) 2019 betreffend (...) nichts zu ändern, umso weniger, als der Beschwerdeführer seither keine weiteren Unterlagen zu seinem Gesundheitszustand eingereicht hat.</w:t>
      </w:r>
    </w:p>
    <w:p>
      <w:r>
        <w:rPr>
          <w:b/>
        </w:rPr>
        <w:t>E. 6.3.3</w:t>
      </w:r>
    </w:p>
    <w:p>
      <w:r>
        <w:t>Im Weiteren hat der Beschwerdeführer den Schulunterricht bis zur (...) Klasse besucht. Danach arbeitete er als (...) (vgl. act. [...]) und erlernte den Beruf des (...), den er auch ausübte (vgl. a.a.O., F56). Zuletzt war er als (...) tätig (vgl. act. [...], act. [...]). Zudem verfügt er über ein familiäres Beziehungsnetz (vgl. act. [...], act. [...]). Es ist davon auszugehen, dass dieses ihn dabei unterstützen kann, sich in seiner Heimat eine neue Existenz zu schaffen.</w:t>
      </w:r>
    </w:p>
    <w:p>
      <w:r>
        <w:rPr>
          <w:b/>
        </w:rPr>
        <w:t>E. 6.3.4</w:t>
      </w:r>
    </w:p>
    <w:p>
      <w:r>
        <w:t>Nach dem Gesagten erweist sich der Vollzug der Wegweisung des Beschwerdeführers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die Kosten dem Beschwerdeführer aufzuerlegen (Art. 63 Abs. 1 VwVG). Indessen reichte der Beschwerdeführer innert der mit Zwischenverfügung vom 24. April 2019 gesetzten Frist eine Fürsorgebestätigung zu den Akten. Somit ist sein Gesuch um Gewährung der unentgeltlichen Prozessführung gemäss Art. 65 Abs. 1 VwVG gutzuheissen, weshalb ihm keine Verfahrenskosten aufzuerlegen sind, zumal den Akten nicht zu entnehmen ist, er wäre zwischenzeitlich nicht mehr fürsorgeabhängig. Folglich ist auch sein Gesuch um amtliche Rechtsverbeiständung gutzuheissen und dem Beschwerdeführer der rubrizierte Rechtsvertreter als amtlichen Rechtsbeistand beizuordnen (aArt. 110a Abs. 1 Bst. a AsylG). Diesem ist ein Honorar für seine notwendigen Ausgaben im Beschwerdeverfahren auszurichten. Der Rechtsvertreter reichte keine Kostennote zu den Akten.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Dem Rechtsvertreter ist unter Berücksichtigung der massgebenden Bemessungsfaktoren (Art. 9-13 VGKE) sowie der Entschädigungspraxis in vergleichbaren Fällen zulasten der Gerichtskasse ein amtliches Honorar von pauschal Fr. 900.-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