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D-1790/2020 vom 2. September 2020</w:t>
      </w:r>
    </w:p>
    <w:p>
      <w:r>
        <w:t>Bundesverwaltungsgericht, 2020-09-02, DE</w:t>
      </w:r>
    </w:p>
    <w:p>
      <w:r>
        <w:rPr>
          <w:b/>
        </w:rPr>
        <w:t xml:space="preserve">Quelle: </w:t>
      </w:r>
      <w:r>
        <w:t>https://mcp.opencaselaw.ch/entscheid/bvger_D-1790_2020</w:t>
      </w:r>
    </w:p>
    <w:p>
      <w:r>
        <w:t>FR: TAF D-1790/2020 du 2 septembre 2020</w:t>
      </w:r>
    </w:p>
    <w:p>
      <w:r>
        <w:t>IT: TAF D-1790/2020 del 2 settembre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4.1 In der Beschwerde werden formelle Rügen erhoben, welche vorab zu beurteilen sind, da sie - sofern begründet - gegebenenfalls geeignet sind, eine Kassation der vorinstanzlichen Verfügung zu bewirken. Der Beschwerdeführer wirft der Vorinstanz Verletzung des rechtlichen Gehörs sowie eine unrichtige und unvollständige Abklärung des rechtserheblichen Sachverhaltes vor. Zunächst ist festzustellen, dass die Rügen des Beschwerdeführers in der Beschwerde (vgl. daselbst, S. 8 ff.) teils Bereiche der rechtlichen Würdigung und nicht die Sachverhaltsfeststellung oder das rechtliche Gehör beschlagen. Dies betrifft insbesondere die Beurteilung der Glaubhaftigkeit der Vorbringen nach Art. 7 AsylG. In dieser Hinsicht ist deshalb auf die nachfolgenden Erwägungen (vgl. E. 5) zu verweisen. 4.1.1 In der Beschwerdeschrift wird gerügt, dass zwischen BzP und Anhörung ein Zeitraum von mehr als zwei Jahren liege. Dies habe dazu geführt, dass der Sachverhalt von verschiedenen SEM-Mitarbeitern «analysiert» und die Fragestellungen «nicht zielorientiert» gewesen seien. Insbesondere habe der Beschwerdeführer an mehreren Stellen auf Fragen antworten müssen, welche kaum zur Erstellung des rechtserheblichen Sachverhalts respektive zur Beurteilung des Asylgesuchs beigetragen hätten. Es ist nicht ersichtlich, inwiefern dem Beschwerdeführer aus der Behandlung seines Asylgesuchs durch verschiedene SEM-Mitarbeitende Nachteile erwachsen sein sollen. Er legt denn auch nicht näher dar, welche Fragen nicht zielorientiert gewesen seien. Aus den Befragungsprotokollen ergeben sich keine Hinweise darauf, dass der Beschwerdeführer systematisch nach unwesentlichen Sachverhaltselementen gefragt worden wäre. Die Rüge ist unbegründet. 4.1.2 Der Beschwerdeführer weist im Weiteren darauf hin, dass in der angefochtenen Verfügung nicht erwähnt worden sei, inwiefern eine Änderung der Verfahrenssprache sich gesetzlich rechtfertigen lasse, wo er doch im deutschsprachige Kanton Zug wohne und das gesamte erstinstanzliche Verfahren in deutscher Sprache geführt worden sei. Der Beschwerdeführer hat seinen Wohnsitz im Kanton Zug in einem Gebiet, welches der deutschen Amtssprache untersteht. Der Erlass einer Verfügung in deutscher Sprache wäre somit die Regel gewesen. Mit Blick auf die Ausführungen im Urteil des Bundesverwaltungsgerichts E-5882/2019 vom 2. März 2020 (E. 6) kann vorliegend indes offenbleiben, ob das SEM berechtigterweise ohne weitere Erläuterung von dieser Regel abgewichen und eine Verfügung in französischer Sprache erlassen hat. Dem Beschwerdeführer, der durch einen Rechtsanwalt vertreten ist, war es nämlich möglich, eine in jeder Hinsicht rechtsgenügliche Beschwerde einzureichen, die sich mit den wesentlichen Aspekten der vorinstanzlichen Verfügung einlässlich auseinandersetzt. Ausserdem ergeht das Urteil in deutscher Sprache. Die Rüge erweist sich als unbehelflich.</w:t>
      </w:r>
    </w:p>
    <w:p>
      <w:r>
        <w:rPr>
          <w:b/>
        </w:rPr>
        <w:t>E. 4.2</w:t>
      </w:r>
    </w:p>
    <w:p>
      <w:r>
        <w:t>Vor dem Hintergrund der vorangehenden Erwägungen besteht somit kein Grund, die angefochtene Verfügung aufzuheben und die Sache zur Neubeurteilung an die Vorinstanz zurückzuweisen.</w:t>
      </w:r>
    </w:p>
    <w:p>
      <w:r>
        <w:rPr>
          <w:b/>
        </w:rPr>
        <w:t>E. 5.1</w:t>
      </w:r>
    </w:p>
    <w:p>
      <w:r>
        <w:t>Entgegen der Auffassung in der Beschwerde hat sich das SEM im vorliegenden Fall keine unrichtige Anwendung der Beweisregel von Art. 7 AsylG vorzuwerfen. Wie in der angefochtenen Verfügung mit umfassender Begründung zutreffend erläutert wird, weichen die Aussagen des Beschwerdeführers in den zentralen Elementen seiner Fluchtgeschichte an der Anhörung diametral von den Angaben an der BZP ab. Im Gegensatz zu seinen Aussagen in der BzP, dass sein Bruder im (...) zweimal bei seinem Wohnhaus vom CID gesucht worden sei, wobei ihm die CID-Agenten gedroht hätten, ihn anstelle seines Bruders mitzunehmen, wenn sich sein Bruder nicht innert dreier Tage bei den Behörden melde, gab er in der Anhörung an, sein Bruder sei (...) untergetaucht, worauf unbekannte Personen (...) und (...) ihn anstelle seines Bruders hätten mitnehmen wollen. Der Erklärungsversuch in der Beschwerde (vgl. daselbst. S. 10 unten), diese Aussagen seien nicht als Widersprüche, sondern als Präzisierungen zu werten, überzeugt nicht. Auch wenn dem Protokoll der BzP angesichts des summarischen Charakters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Entscheidungen und Mitteilungen der Schweizerischen Asylrekurskommission [EMARK] 1993/3 E. 3 S. 13). Kommt hinzu, dass der Beschwerdeführer mit seinem eigenen Reisepass über den Flughafen Colombo ausgereist ist (SEM-Akten, A3, S. 5). Daher kann ausgeschlossen werden, dass sein Name auf der «Stop-List» der Behörden am Flughafen Colombo aufgeführt ist und er zum Zeitpunkt seiner Ausreise von den sri-lankischen Behörden gesucht wurde. Mithin ist seine Fluchtgeschichte auch aus diesem Grund als unglaubhaft zu betrachten (vgl. zur Situation am Flughafen Colombo und zur Ausreise mit eigenen Dokumenten: Urteile des BVGer E-1866/2015 vom 15. Juli 2016 E. 8.2 [als Referenzurteil publiziert] und statt vieler E-1128/2020 vom 17. März 2020 E. 5). Das SEM hat im Ergebnis somit hinreichend und nachvollziehbar sowie zutreffend begründet, dass sich aufgrund des gesamten Aussageverhaltens des Beschwerdeführers das ausgeprägte Bild einer konstruierten Verfolgungssituation ergibt. Angesichts der aufgezeigten Sachlage erübrigt es sich, auf weitere Einwendungen in der Beschwerde einzugehen, da sie nicht geeignet sind, eine andere Einschätzung in der Frage der Glaubhaftmachung eines unter dem Blickwinkel von Art. 3 AsylG relevanten Sachverhalts herbeizuführen.</w:t>
      </w:r>
    </w:p>
    <w:p>
      <w:r>
        <w:rPr>
          <w:b/>
        </w:rPr>
        <w:t>E. 5.2</w:t>
      </w:r>
    </w:p>
    <w:p>
      <w:r>
        <w:t>Es liegen auch keine Risikofaktoren vor (vgl. dazu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war es ihm möglich, vor Ort zu leben, die Schule abzuschliessen und zu arbeiten. Die - sofern überhaupt glaubhaften - Ausführungen zu den Beziehungen seines Bruders zu den LTTE sind sehr oberflächlich ausgefallen und die angeblichen Beziehungen haben offenbar bislang kein Verfolgungsinteresse seitens der sri-lankischen Behörden an seiner Person ausgelöst respektive haben sich als unglaubhaft erwiesen. Es bestehen keine hinreichenden Anhaltspunkte dafür, dass dem Beschwerdeführer bei einer Rückkehr nach Sri Lanka persönlich ernsthafte Nachteile im Sinne von Art. 3 AsylG drohen könnten.</w:t>
      </w:r>
    </w:p>
    <w:p>
      <w:r>
        <w:rPr>
          <w:b/>
        </w:rPr>
        <w:t>E. 5.3</w:t>
      </w:r>
    </w:p>
    <w:p>
      <w:r>
        <w:t>Seit Einreichung des Asylgesuchs durch den Beschwerdeführer war die Lage in Sri Lanka verschiedenen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17. Juni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wie sich aus den vorstehenden Erwägungen ergibt, nicht ersichtlich.</w:t>
      </w:r>
    </w:p>
    <w:p>
      <w:r>
        <w:rPr>
          <w:b/>
        </w:rPr>
        <w:t>E. 5.4</w:t>
      </w:r>
    </w:p>
    <w:p>
      <w:r>
        <w:t>Damit ist nach Würdigung der gesamten Umstände als Ergebnis festzuhalten, dass der Beschwerdeführer die Voraussetzungen zur Flüchtlingseigenschaft im Sinne von Art. 3 AsylG nicht erfüllt. Folgerichtig bleibt ihm die Gewährung von Asyl durch die schweizerischen Behörden versagt (Art. 2 Abs. 1 und Art. 49 AsylG). Die Ablehnung des entsprechenden Gesuchs durch die Vorinstanz ist zu bestätigen.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Der Beschwerdeführer stammt aus B._______ (Nordprovinz). Der Vollzug in dieses Gebiet ist gemäss gefestigter Rechtsprechung grundsätzlich zumutbar. Auch sprechen keine individuellen Gründe gegen einen Wegweisungsvollzug. So verfügt der junge und gesunde Beschwerdeführer mit Schulabschluss und Arbeitserfahrung in Sri Lanka über ein tragfähiges familiäres Beziehungsnetz (Eltern, Geschwister, weitere Verwandte), auf dessen Hilfe er - sofern notwendig - bei seiner Wiedereingliederung zählen kann.</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7.5</w:t>
      </w:r>
    </w:p>
    <w:p>
      <w:r>
        <w:t>Die Vorinstanz hat den Vollzug demnach zu Recht als zulässig, zumutbar und möglich erachtet. Damit fällt die Anordnung der vorläufigen Aufnahme ausser Betracht (Art. 83 Abs. 1-4 AIG). 8.Aus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9</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