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D-1786/2022 vom 16. März 2022</w:t>
      </w:r>
    </w:p>
    <w:p>
      <w:r>
        <w:t>Bundesverwaltungsgericht, 2022-03-16, DE</w:t>
      </w:r>
    </w:p>
    <w:p>
      <w:r>
        <w:rPr>
          <w:b/>
        </w:rPr>
        <w:t xml:space="preserve">Quelle: </w:t>
      </w:r>
      <w:r>
        <w:t>https://mcp.opencaselaw.ch/entscheid/bvger_D-1786_2022_d20220316</w:t>
      </w:r>
    </w:p>
    <w:p>
      <w:r>
        <w:t>FR: TAF D-1786/2022 du 16 mars 2022</w:t>
      </w:r>
    </w:p>
    <w:p>
      <w:r>
        <w:t>IT: TAF D-1786/2022 del 16 marzo 2022</w:t>
      </w:r>
    </w:p>
    <w:p>
      <w:pPr>
        <w:pStyle w:val="Heading2"/>
      </w:pPr>
      <w:r>
        <w:t>Regeste</w:t>
      </w:r>
    </w:p>
    <w:p>
      <w:r>
        <w:t>Asyl (ohne Wegweisungsvollzug) | Asyl (ohne Wegweisungsvollzug); Verfügung des SEM vom 16.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Covid-19-Verordnung Asyl vom 20. April 2020 [SR 142.318];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die Durchführung eines Schriftenwechsels verzichtet.</w:t>
      </w:r>
    </w:p>
    <w:p>
      <w:r>
        <w:rPr>
          <w:b/>
        </w:rPr>
        <w:t>E. 4.1</w:t>
      </w:r>
    </w:p>
    <w:p>
      <w:r>
        <w:t>Im Sinne eines Eventualantrags beantragte der Beschwerdeführer in der Beschwerde die Aufhebung der Dispositivziffern 1–3 der angefochte- nen Verfügung und die Rückweisung der Sache an die Vorinstanz zur voll- ständigen Feststellung des Sachverhalts. Zur Begründung brachte er vor,</w:t>
      </w:r>
    </w:p>
    <w:p>
      <w:r>
        <w:t>D-1786/2022 Seite 7 er habe sich zu den von der Vorinstanz angeführten Unglaubhaftigkeitsele- menten erst im Rahmen der Stellungnahme zum Entscheidentwurf, nicht aber anlässlich der Anhörung nach Art. 29 AsylG äussern können. Somit sei der rechtserhebliche Sachverhalt nicht vollständig festgestellt und sein Anspruch auf rechtliches Gehör verletzt worden.</w:t>
      </w:r>
    </w:p>
    <w:p>
      <w:r>
        <w:rPr>
          <w:b/>
        </w:rPr>
        <w:t>E. 4.2</w:t>
      </w:r>
    </w:p>
    <w:p>
      <w:r>
        <w:t>Da diese Rüge allgemeine Verfahrensgarantien betrifft und in der Folge allenfalls geeignet ist, eine Kassation der vorinstanzlichen Verfügung zu bewirken, ist sie vorab zu beurteilen.</w:t>
      </w:r>
    </w:p>
    <w:p>
      <w:r>
        <w:rPr>
          <w:b/>
        </w:rPr>
        <w:t>E. 4.3</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 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 wirkungsrecht der Partei dar. Der Anspruch auf rechtliches Gehör verlangt, dass die verfügende Behörde die Vorbringen des Betroffenen tatsächlich hört, sorgfältig und ernsthaft prüft und in der Entscheidfindung berücksich- tigt, was sich entsprechend in der Entscheidbegründung niederschlagen muss (vgl. BVGE 2015/10 E. 3.3).</w:t>
      </w:r>
    </w:p>
    <w:p>
      <w:r>
        <w:t>D-1786/2022 Seite 8 Das Recht, eine Stellungnahme zum Entscheidentwurf einzureichen, bein- haltet auch den Anspruch der rechtssuchenden Person, dass die entschei- dende Behörde sich mit ihren Argumenten erkennbar auseinandersetzt, sobald diese eine gewisse Substanz aufweisen (vgl. Urteil des BVGer D-5691/2019 vom 13. Dezember 2019 E. 5.3, zur Substantiiertheit der Vor- bringen vgl. D-6549/2017 vom 13. Dezember 2017 E. 7.2).</w:t>
      </w:r>
    </w:p>
    <w:p>
      <w:r>
        <w:rPr>
          <w:b/>
        </w:rPr>
        <w:t>E. 4.4</w:t>
      </w:r>
    </w:p>
    <w:p>
      <w:r>
        <w:t>Im Entscheidentwurf führte das SEM aus, zwar seien die Schilderun- gen des Beschwerdeführers sehr ausführlich ausgefallen und teilweise Re- alkennzeichen erkennbar, sie enthielten jedoch derart krasse Widersprü- che, dass die Asylvorbringen insgesamt nicht geglaubt werden könnten, weshalb deren Asylrelevanz nicht zu prüfen sei. Anlässlich der EB UMA habe der Beschwerdeführer angegeben, er sei frühmorgens, als es noch nicht hell gewesen sei, entführt worden, nach- dem er dem Talib, der seine Schwester habe heiraten wollen, die Haustür geöffnet habe; demgegenüber habe er anlässlich der Anhörung nach Art. 29 AsylG geltend gemacht, ein Talib habe bemerkt, dass die Familie des Beschwerdeführers im Haus ihre Sachen zusammenpacken würde, dieser habe sich jedoch mit der Erklärung, sie würden das Haus putzen, zufriedengegeben. Eine Stunde später habe der Talib seine Familie aufge- fordert, ihm ihre Wertsachen und Dokumente auszuhändigen. Als schliess- lich sein Vater gekommen sei, sei er – der Beschwerdeführer – in einem Fahrzeug, seine Schwestern und seine Eltern in zwei weiteren Fahrzeugen weggebracht worden. Sodann habe der Beschwerdeführer hinsichtlich seiner Inhaftierung wider- sprüchliche Angaben gemacht: Einmal habe er angegeben, er sei mit ei- nem etwa gleichaltrigen jungen Mann inhaftiert gewesen, der so stark ver- letzt gewesen sei, dass er nur noch am Boden habe liegen können; ein anderes Mal habe er angeführt, dieser sei etwa im Alter seines älteren Bru- ders gewesen und habe seinen Kopf andauernd gegen eine Wand ge- schlagen. Ferner habe er anlässlich der EB UMA zu Protokoll gegeben, während sei- ner Inhaftierung hätten die Taliban ihn bearbeitet und dazu bringen wollen, dass sich seine Schwester mit der Heirat einverstanden erklären würde. An der Anhörung nach Art. 29 AsylG habe er hingegen geschildert, seine Schwester hätte in die Heirat eingewilligt, bevor sie auf den Berg gebracht worden sei.</w:t>
      </w:r>
    </w:p>
    <w:p>
      <w:r>
        <w:t>D-1786/2022 Seite 9 Im Übrigen habe der Beschwerdeführer zunächst angegeben, den Namen des Talib nicht zu kennen, da seine Familie ihn jeweils nur als «Mistkerl» bezeichnet habe; anschliessend habe er ihn jedoch als G._______ identi- fiziert. Schliesslich seien auch seine Angaben zur Flucht vor den Taliban wider- sprüchlich ausgefallen. An der EB UMA habe er angeführt, einen Mann an- gesprochen zu haben, der dann sein Auto geholt und ihn in sein Dorf ge- fahren habe. Dagegen habe er anlässlich der Anhörung nach Art. 29 AsylG geltend gemacht, er habe einen Lastwagen angehalten; der Fahrer habe ihn anschliessend in die Gegend seines Dorfes gebracht.</w:t>
      </w:r>
    </w:p>
    <w:p>
      <w:r>
        <w:rPr>
          <w:b/>
        </w:rPr>
        <w:t>E. 4.5</w:t>
      </w:r>
    </w:p>
    <w:p>
      <w:r>
        <w:t>In der Stellungnahme zum Entscheidentwurf brachte der Beschwerde- führer mittels seiner Rechtsvertreterin vor, er sei an der EB UMA aus zeit- lichen Gründen mehrfach unterbrochen worden und explizit aufgefordert worden, sich kurz zu fassen. Die vom SEM angeführten Widersprüche seien insbesondere darauf zurückzuführen, dass er seine Vorbringen nicht detailliert habe darlegen können. Die vermeintlichen Widersprüche könne er jedoch erklären, zumal weder sein junges Alter noch das schwierige An- hörungsklima, seine psychischen Beschwerden oder sein Bildungshinter- grund berücksichtigt worden seien. Insgesamt sei die Glaubhaftigkeitsprü- fung einseitig zu seinen Ungunsten ausgefallen. Auch habe er bereits in der EB UMA seinem Gefühl Ausdruck verliehen, ihm werde nicht zugehört, weshalb er weinend den Raum verlassen habe. Das SEM habe versäumt, ein Klima des Vertrauens zu schaffen. Es überrasche zudem, dass er mit den im Entscheidentwurf angeführten Widersprüchen im Rahmen der Anhörung nach Art.29 AsylG nicht konfron- tiert worden sei, zumal es sich gemäss der Vorinstanz um krasse Wider- sprüche handle, welche die Glaubhaftigkeit seiner Vorbringen insgesamt in Abrede stellen würden. Die Stellungnahme zum Entscheidentwurf diene dazu, allfällige Einwände der Rechtsvertretung bereits im erstinstanzlichen Verfahren einzubringen, nicht aber, den Sachverhalt vollständig zu erstel- len, weshalb sein Anspruch auf rechtliches Gehör verletzt worden sei. Betreffend die Umstände seiner Entführung habe er anlässlich der EB UMA nur zusammenfassend dargelegt, dass er, nachdem er dem Talib die Tür geöffnet habe, entführt worden sei. Ein Widerspruch zu seinen Angaben anlässlich der Anhörung nach Art. 29 AsylG ergeben sich daraus aber nicht.</w:t>
      </w:r>
    </w:p>
    <w:p>
      <w:r>
        <w:t>D-1786/2022 Seite 10 Mit Blick auf das Alter seines Mitgefangenen habe er bereits an der EB UMA erklärt, er kenne dessen Alter nicht. An der Anhörung nach Art. 29 AsylG habe er lediglich konkretisiert, dass dieser womöglich im Alter seines bloss zweieinhalb Jahre älteren Bruders gewesen sein könnte. Auch darin sei kein Widerspruch zu sehen. Ferner habe seine Schwester der Heirat mit dem Talib vorab zugestimmt, um nicht entführt zu werden. Spätestens mit den entdeckten Fluchtabsich- ten sei ihr fehlender Wille jedoch offenkundig geworden. Insoweit gehe aus dem Protokoll der Anhörung nach Art. 29 AsylG hervor, dass seine Schwester zwar vorgegeben habe, einzuwilligen; tatsächlich aber habe sie einer Heirat nicht zustimmen wollen. Im Übrigen habe er sich anlässlich der EB UMA an den Namen des Talib aufgrund des Drucks nicht erinnern können, an der Anhörung hingegen schon. Schliesslich habe er an keiner Stelle angegeben, einen Lastwagen ange- halten zu haben, sondern vielmehr, dass er gesehen habe, dass ein Last- wagen auf der Schotterstrasse angehalten habe, woraufhin er den Fahrer angesprochen habe. Der Fahrer habe ihm zunächst empfohlen, zur Haupt- strasse zu gehen; als dieser jedoch seine Verletzungen bemerkt habe, habe er seinen Lastwagen geholt und ihn gefahren. Folglich habe er seine Vorbringen insgesamt glaubhaft gemacht, weshalb das SEM gehalten sei, deren Asylrelevanz zu prüfen.</w:t>
      </w:r>
    </w:p>
    <w:p>
      <w:r>
        <w:rPr>
          <w:b/>
        </w:rPr>
        <w:t>E. 4.6</w:t>
      </w:r>
    </w:p>
    <w:p>
      <w:r>
        <w:t>In seinem Entscheid hielt das SEM an der bereits im Entscheidentwurf niedergelegten Begründung fest. Ergänzend führte es aus, der Vorhalt, dem Beschwerdeführer sei zu wenig Redezeit zur Verfügung gestellt wor- den, weshalb es zu Widersprüchen gekommen sei, könne nicht gehört wer- den: Seine protokollierten Schilderungen anlässlich der Anhörung nach Art. 29 AsylG würden drei Textseiten umfassen. Die Einschätzung, wonach kein Klima des Vertrauens geschafft worden sei, entspreche ebenfalls nicht den Tatsachen, zumal er anlässlich der Anhörung nach Art. 29 AsylG an- gegeben habe, sehr erfreut zu sein, an der Anhörung teilzunehmen, denn beim ersten Mal sei nur in den Computer getippt worden. Im Übrigen sei auf eine Konfrontation mit den Widersprüchen im Rahmen der Anhörung nach Art. 29 AsylG bewusst verzichtet worden, um die Atmosphäre nicht zu belasten; das rechtliche Gehör sei ihm mit dem Vorlegen des Entscheid- entwurfs gewährt worden. Die von ihm in der Stellungnahme angeführten</w:t>
      </w:r>
    </w:p>
    <w:p>
      <w:r>
        <w:t>D-1786/2022 Seite 11 Erklärungsversuche vermöchten jedoch nicht zu überzeugen, so dass auf die Erwägungen des Entscheids verwiesen werden könne. Somit seien keine Tatsachen oder Beweismittel vorgelegt worden, welche eine Ände- rung des Standpunktes des SEM rechtfertigen könnten.</w:t>
      </w:r>
    </w:p>
    <w:p>
      <w:r>
        <w:rPr>
          <w:b/>
        </w:rPr>
        <w:t>E. 4.7</w:t>
      </w:r>
    </w:p>
    <w:p>
      <w:r>
        <w:t>In der Beschwerde macht der Beschwerdeführer geltend, er habe seine Vorbringen ausführlich sowie detailreich unter Verwendung verschiedener Realkennzeichen, und somit insgesamt glaubhaft dargelegt. Die von der Vorinstanz angeführten vermeintlichen Widersprüche beträfen nur Diver- genzen zwischen der EB UMA und der Anhörung nach Art. 29 AsylG, nicht aber Unvereinbarkeiten innerhalb der einzelnen Befragungen. Es handle sich dabei auch nicht um Widersprüche, sondern um Schilderungen mit unterschiedlichem Detaillierungsgrad, was angesichts der Unterbrechun- gen und der Aufforderung zur summarischen Äusserung nicht erstaune. Die in der Stellungnahme zum Entscheidentwurf geltend gemachten Vor- bringen zur Klärung der vermeintlichen Widersprüche hätten ausserdem keinen Niederschlag in der angefochtenen Verfügung gefunden. Die Vor- instanz habe einzig darauf hingewiesen, dass er in der Anhörung nach Art. 29 AsylG genügend Zeit gehabt hätte, sich zu seinen Asylgründen zu äussern; in der Stellungnahme habe er jedoch moniert, dass er in der EB UMA seine Asylgründe nur lückenhaft habe darlegen können. Dies sei auch der Grund, weshalb er sich eingangs der Anhörung nach Art. 29 AsylG erfreut gezeigt und auf eine bessere Anhörung gehofft habe. Ausserdem müsse die Vorinstanz sowohl sein junges Alter, seine psychi- sche Gesundheit und seinen Bildungshintergrund in der Gesamtwürdigung der Glaubhaftmachung berücksichtigen. Er leide an einer posttraumati- schen Belastungsstörung und müsse aufgrund von Suizidgedanken täglich von der Pflege überwacht werden. Traumatisierte Menschen hätten häufig Schwierigkeiten, spontan und umfassend über erlittene Nachteile zu be- richten. Auch der Umstand, dass er keine reguläre Schule besucht habe, müsse sich in der Gesamtabwägung niederschlagen. Schliesslich sei er zum Zeitpunkt der fluchtauslösenden Ereignisse erst zwölfeinhalb Jahre alt gewesen; die in Frage stehenden Ereignisse würden schon über zwei Jahre zurückliegen, was ebenfalls mitberücksichtigt werden müsse. Sodann sei nicht nachvollziehbar, dass zu Ausbildungszwecken eine zu- sätzliche Person, über deren Anwesenheit weder er noch seine Rechtsver- tretung informiert gewesen seien, an der Anhörung nach Art. 29 AsylG teil-</w:t>
      </w:r>
    </w:p>
    <w:p>
      <w:r>
        <w:t>D-1786/2022 Seite 12 genommen habe. Er habe darauf hingewiesen, dass er sich dadurch ver- unsichert und eingeschüchtert gefühlt habe, zumal er weinend das Anhö- rungszimmer verlassen habe. Das Anhörungsklima habe sich somit ein- schränkend und negativ auf seine Aussagen ausgewirkt.</w:t>
      </w:r>
    </w:p>
    <w:p>
      <w:r>
        <w:rPr>
          <w:b/>
        </w:rPr>
        <w:t>E. 5.1</w:t>
      </w:r>
    </w:p>
    <w:p>
      <w:r>
        <w:t>Vorliegend verweist das SEM in seinem ablehnenden Asylentscheid in Hinblick auf die mangelnde Glaubhaftigkeit auf krasse Widersprüche in den Vorbringen des Beschwerdeführers. Dazu ist festzustellen, dass das SEM zwar in der angefochtenen Verfügung teilweise Bezug auf die in der Stel- lungnahme zum Entscheidentwurf vorgebrachten Argumente genommen hat. Allerdings bezog es das Vorbringen des Beschwerdeführers, während der Anhörungen stets unterbrochen worden zu sein und sich nur lückenhaft geäussert haben zu können, ausschliesslich auf die Anhörung nach Art. 29 AsylG und wies es mit der Begründung zurück, seine Aussagen würden drei Textseiten umfassen. Dabei lässt die Vorinstanz in der Begründung der Verfügung allerdings ausser Acht, dass sich diese Kritik in erster Linie auf die EB UMA bezog. Dem Protokoll der EB UMA ist denn auch zu entneh- men, dass der Beschwerdeführer an mehreren Stellen in seinen Schilde- rungen unterbrochen wurde, obwohl er darauf aufmerksam machte, fort- fahren respektive weitere Ausführungen machen zu wollen (vgl. SEM-e- Akte […]-13/13 Ziff. 7.01 [nachf. A13/13]). Auf die Ausführungen in der Stel- lungnahme zu den vorgehaltenen Widersprüchen wurde in der Verfügung inhaltlich nicht eingegangen; vielmehr begnügte sich das SEM damit, auf die Erwägungen seines Entscheids zu verweisen. Tatsächlich erscheinen jedoch die Argumente in der Stellungnahme geeignet, die Einschätzung der Unglaubhaftigkeit seiner Vorbringen möglicherweise zu erschüttern. Beispielsweise bringt der Beschwerdeführer vor, dass der fehlende Wille seiner Schwester, den Talib zu heiraten, spätestens mit den entdeckten Fluchtvorbereitungen offenkundig geworden sei. Dies könnte durchaus als Konkretisierung seiner Schilderungen anlässlich der EB UMA gewertet werden, worauf das SEM in seiner Begründung in keiner Weise eingegan- gen ist. Dasselbe gilt für seine Vorbringen betreffend die Umstände seiner Entführung. Ferner ist aus den Protokollen auch nicht ersichtlich, dass der Beschwerdeführer dargelegt haben soll, er habe einen Lastwagen ange- halten, um in sein Dorf zurückzukehren (vgl. SEM-eAkte […]-28/15 F57 S. 11; A13/13 Ziff. 7.01 S. 10). Obwohl er in der Stellungnahme explizit da- rauf hinwies und erklärte, er habe angegeben, dass ein Lastwagen auf der Schotterstrasse angehalten habe, mit welchem er schliesslich in sein Dorf zurückgebracht worden sei, hat sein Einwand in der angefochtenen Verfü-</w:t>
      </w:r>
    </w:p>
    <w:p>
      <w:r>
        <w:t>D-1786/2022 Seite 13 gung keinen Niederschlag gefunden. Trotz der (zumindest teilweise) sub- stantiierten Argumentation in der Stellungnahme hat die Vorinstanz den Entscheidentwurf unverändert in die angefochtene Verfügung überführt; die Erklärungen des Beschwerdeführers in der Stellungnahme werden im Entscheid erst nach der Prüfung der Voraussetzungen an die Glaubhaf- tigkeit und ohne weitere inhaltliche Auseinandersetzung aufgeführt. Das Gericht stellt fest, dass sich die Vorinstanz mit den konkreten Argumenten in der Stellungnahme nicht genügend auseinandergesetzt hat; sie fanden auch keinen Niederschlag in der Begründung des ablehnenden Asylent- scheids. Die Vorinstanz hat daher ihre Begründungspflicht und damit den Anspruch auf rechtliches Gehör verletzt. Bei dieser Sachlage erübrigt sich eine Auseinandersetzung mit weiteren formellen Rügen.</w:t>
      </w:r>
    </w:p>
    <w:p>
      <w:r>
        <w:rPr>
          <w:b/>
        </w:rPr>
        <w:t>E. 5.2</w:t>
      </w:r>
    </w:p>
    <w:p>
      <w:r>
        <w:t>Im Übrigen stellt das Gericht fest, dass andere, für die Feststellung der Glaubhaftigkeit und der Flüchtlingseigenschaft des Beschwerdeführers be- deutsame Sachverhaltselemente bisher zu wenig abgeklärt wurden. Bei- spielsweise dürfte vorliegend die Identität und Stellung sowie die Machtsphäre des Vaters des jungen Talib für eine Prüfung nach Art. 3 und</w:t>
      </w:r>
    </w:p>
    <w:p>
      <w:r>
        <w:rPr>
          <w:b/>
        </w:rPr>
        <w:t>E. 5.3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w:t>
      </w:r>
    </w:p>
    <w:p>
      <w:r>
        <w:t>D-1786/2022 Seite 14 wenn dies im Einzelfall aus prozessökonomischen Gründen angebracht er- scheint; sie muss dies aber nicht (vgl. BVGE 2012/21 E. 5). Vorliegend liegt der Mangel in einer Verletzung der Begründungspflicht, welche einen schwerwiegenden Mangel darstellt, der eine vernünftige Prozesserledi- gung der Rechtsmittelinstanz verunmöglicht. Es liegt nicht am Bundesver- waltungsgericht, anstelle der Vorinstanz die entsprechenden Schlüsse aus dem Sachverhalt zu ziehen, und es ist auch nicht seine Aufgabe, Versäum- nisse des SEM auf Beschwerdeebene systematisch zu beheben und damit die Vorinstanz gleichsam von einer sorgfältigen Verfahrensführung zu ent- binden, zumal den Beschwerdeführenden durch ein solches Vorgehen eine Instanz verloren ginge. Somit fällt eine Heilung der festgestellten Mängel in der angefochtenen Verfügung nicht in Betracht (vgl. zum Ganzen BVGE 2009/53 E. 7.3). Eine Kassation der angefochtenen Verfügung rechtfertigt sich insbesondere auch unter Berücksichtigung der vorgesehenen Be- handlungsfrist von zwanzig Tagen (vgl. Art. 109 Abs. 1 AsylG).</w:t>
      </w:r>
    </w:p>
    <w:p>
      <w:r>
        <w:rPr>
          <w:b/>
        </w:rPr>
        <w:t>E. 5.4</w:t>
      </w:r>
    </w:p>
    <w:p>
      <w:r>
        <w:t>Angesichts der Rückweisung der Sache erübrigt sich eine Auseinan- dersetzung mit den in reformatorischer Hinsicht gestellten Rechtsbegeh- ren.</w:t>
      </w:r>
    </w:p>
    <w:p>
      <w:r>
        <w:rPr>
          <w:b/>
        </w:rPr>
        <w:t>E. 5.5</w:t>
      </w:r>
    </w:p>
    <w:p>
      <w:r>
        <w:t>Nach dem Gesagten ist die Beschwerde gutzuheissen, soweit die Auf- hebung der angefochtenen Verfügung beantragt worden ist. Die Verfügung des SEM vom 16. März 2022 ist aufzuheben und die Sache ist zur Neube- urteilung im Sinne der Erwägungen an die Vorinstanz zurückzuweisen. 6. Bei diesem Ausgang des Verfahrens sind keine Kosten zu erheben (Art. 63 Abs. 1 und 2 VwVG).</w:t>
      </w:r>
    </w:p>
    <w:p>
      <w:r>
        <w:rPr>
          <w:b/>
        </w:rPr>
        <w:t>E. 6</w:t>
      </w:r>
    </w:p>
    <w:p>
      <w:r>
        <w:t>Bei diesem Ausgang des Verfahrens sind keine Kosten zu erheben (Art. 63 Abs. 1 und 2 VwVG).</w:t>
      </w:r>
    </w:p>
    <w:p>
      <w:r>
        <w:rPr>
          <w:b/>
        </w:rPr>
        <w:t>E. 7</w:t>
      </w:r>
    </w:p>
    <w:p>
      <w:r>
        <w:t>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 (Dispositiv nächste Seite)</w:t>
      </w:r>
    </w:p>
    <w:p>
      <w:r>
        <w:t>D-1786/2022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