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D-1777/2009 vom 14. Oktober 2010</w:t>
      </w:r>
    </w:p>
    <w:p>
      <w:r>
        <w:t>Bundesverwaltungsgericht, 2010-10-14, FR</w:t>
      </w:r>
    </w:p>
    <w:p>
      <w:r>
        <w:rPr>
          <w:b/>
        </w:rPr>
        <w:t xml:space="preserve">Quelle: </w:t>
      </w:r>
      <w:r>
        <w:t>https://mcp.opencaselaw.ch/entscheid/bvger_D-1777_2009</w:t>
      </w:r>
    </w:p>
    <w:p>
      <w:r>
        <w:t>FR: TAF D-1777/2009 du 14 octobre 2010</w:t>
      </w:r>
    </w:p>
    <w:p>
      <w:r>
        <w:t>IT: TAF D-1777/2009 del 14 ottobre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L'intéressé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force est de constater, au même titre que l'ODM (cf. sa décision, consid. I, p. 2 s.), que le récit du recourant, s'agissant des menaces émanant des frères de son ex-amie, n'atteint pas le degré de vraisemblance exigé par l'art. 7 LAsi. Les explications apportées dans le recours (cf. notamment ch. 2, p. 5 ss) ne sont manifestement pas de nature à remettre en cause ce constat. D'abord, il convient d'écarter l'argument selon lequel le procès-verbal de l'audition du 7 mars 2007 comporterait une erreur au moins, en ce sens qu'A._______ n'aurait jamais déclaré avoir essuyé des coups de feu. En effet, l'audition a été menée dans la langue albanaise, sa langue maternelle, et il a confirmé, à la fin de cette audition, que le contenu du procès-verbal correspondait à ses déclarations. Ensuite, malgré les menaces et les mauvais traitements subis en novembre 2002 (cf. toutefois le recours, p. 3, dans lequel ces événements sont situés en novembre 2005), le recourant justifie la poursuite de sa relation amoureuse, durant les quatre années suivantes, par le fait qu'il aurait fréquenté en secret sa fiancée. Or, si tel avait été le cas, il n'aurait plus été menacé continuellement (cf. le pv de l'audition du 27 novembre 2008, questions 27 ss, p. 5, et le recours, sous "Prozessgeschichte", p. 3) par les frères de cette dernière. En revanche, ceux-ci, dès lors qu'ils auraient manifestement été au courant de la poursuite de cette relation (cf. le pv de l'audition du 27 novembre 2008, question 42, p. 6), n'auraient pas attendu le début de l'année 2007 pour mettre leur menaces à exécution, ni le mois de décembre précédent pour "enfermer" leur soeur (cf. le pv de l'audition du 27 novembre 2008, questions 11 et 40, p. 3 et 6, en relation avec celui du 7 mars 2007, ch. 15, p. 6). D'autres éléments renforcent l'invraisemblance des motifs d'asile du recourant et des craintes alléguées par celui-ci en cas de retour au Kosovo. Notamment, lors de sa première audition, l'intéressé n'aurait pas omis de signaler que, fin janvier ou début février 2007, les frères de sa fiancée étaient prétendument venus, armés, à B._______ et qu'ils avaient envoyé un messager - un homme de ce village - le menacer de mort s'il ne quittait pas le pays. En effet, il s'agit là d'un fait essentiel à l'origine de sa demande de protection en Suisse (cf. le recours, § 4, p. 4, et § 1, p. 7, ainsi que le pv de l'audition du 27 novembre 2008, questions 43 à 46, p. 6). Le recourant n'a pas non plus été constant s'agissant de la fréquence à laquelle il aurait demandé la protection des forces de sécurité présentes sur le territoire du Kosovo (à deux reprises, auprès de la police locale une semaine après l'agression de novembre 2002, puis en janvier 2003 auprès de la KFOR [cf. le pv de l'audition du 7 mars 2007, ch. 15, p. 5], ou à réitérées reprises auprès de la police de Rahovec [ou Orahovac en langue serbe] et de la KFOR à Prizren [cf. le recours, p. 4, § 2 et 3, p. 6, let. c, et p. 9, § 2).</w:t>
      </w:r>
    </w:p>
    <w:p>
      <w:r>
        <w:rPr>
          <w:b/>
        </w:rPr>
        <w:t>E. 3.2</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Dans le cas contraire, l'ODM règle les conditions de résidence du requérant conformément à l'art. 83 de la loi fédérale sur les étrangers du 16 décembre 2005 (LEtr, RS 142.20).</w:t>
      </w:r>
    </w:p>
    <w:p>
      <w:r>
        <w:rPr>
          <w:b/>
        </w:rPr>
        <w:t>E. 5.2</w:t>
      </w:r>
    </w:p>
    <w:p>
      <w:r>
        <w:t>Les trois conditions précitées, susceptibles d'empêcher l'exécution du renvoi (illicéité, inexigibilité et impossibilité) sont de nature alternative: il suffit que l'une d'elles soit réalisée pour que le renvoi soit inexécutable. En l'espèce, c'est sur la question de l'exigibilité que le Tribunal entend porter son examen (cf. ATAF 2009/51 consid. 5.4 p. 748).</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2007/10 consid. 5.1 p. 111; JICRA 2005 no 24 consid. 10.1 p. 215 et jurisp. cit.).</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6.3</w:t>
      </w:r>
    </w:p>
    <w:p>
      <w:r>
        <w:t>En l'espèce,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6.4</w:t>
      </w:r>
    </w:p>
    <w:p>
      <w:r>
        <w:t>Sur le plan personnel, il ressort des certificats médicaux au dossier qu'A._______ souffre en particulier d'une schizophrénie paranoïde. Cette affection se manifeste, quotidiennement, sous forme d'hallucinations visuelles, auditives et cénesthésiques, troubles survenant en crise et précédés parfois d'hallucinations olfactives. Les thérapeutes mentionnent que le patient est effrayé, crie, pleure et présente des idées suicidaires (par exemple se jeter par la fenêtre) lorsqu'il se sent "trop mal". Malgré les traitements prodigués depuis octobre 2007 (lourd traitement médicamenteux composé d'antipsychotiques, d'anxiolytiques, de somnifères et d'anti-dépresseurs, ainsi que suivi psychiatrique et psycho-thérapeutique intégré à raison d'une séance bimensuelle, voire hebdomadaire selon les besoins), l'état de santé du recourant ne s'est pas amélioré. L'interruption des traitements, jugés indispensables au vu de la symptomatologie caractérisée par des manifestations de type psychotique à caractère persécutoire, risque d'entraîner chez lui une grave décompensation. Au vu de ce qui précède, la poursuite des traitements instaurés en Suisse s'avère essentielle, au risque sinon d'entraîner une péjoration irrémédiable de l'état de santé du recourant et, en conséquence, une mise en danger concrète de sa vie ou de son intégrité corporelle. Sur la base des informations à disposition du Tribunal relatives aux traitement des maladies psychiques au Kosovo, les médicaments dont le recourant a besoin devraient pouvoir être obtenus sur place, en tous les cas sous leur forme générique, même si leur gratuité n'est pas assurée. Leur approvisionnement n'est, toutefois, pas toujours garanti. S'agissant du suivi psychologique régulier, lequel apparaît également essentiel au traitement des troubles du recourant, il n'est pas garanti que celui-ci puisse bénéficier d'une thérapie appropriée en cas de retour dans son pays d'origine. En effet, en dépit des efforts accomplis au Kosovo dans le domaine de la santé et de la sensible amélioration de l'infrastructure médicale, la capacité des hôpitaux dans le traitement des maladies psychiques demeure insuffisante, eu égard à l'importante demande de la population en termes de soins psychiatriques. Les personnes - telle le recourant - souffrant d'affections psychiques graves, qui requièrent une thérapie spécifique de longue durée, ne peuvent ainsi souvent pas recevoir les soins appropriés. Ainsi, les structures hospitalières, y compris l'Hôpital universitaire de Pristina, n'ont généralement pas la possibilité d'offrir de psychothérapies et se bornent à fournir des médicaments, en raison du manque endémique de professionnels de la santé mentale, et les entretiens avec les nombreux patients se limitent souvent à évaluer l'efficacité de la médication prescrite (cf. GRÉGOIRE SINGER, Organisation suisse d'aide aux réfugiés [OSAR], Kosovo: Mise à jour, Etat des soins de santé, 1er septembre 2010). Dans ces conditions, il n'est pas établi à satisfaction de droit que le recourant puisse avoir accès, outre à sa lourde médication dont une partie des coûts au moins serait à sa charge, à un suivi psychiatrique et psychothérapeutique intégré indispensable afin de pallier le risque d'une mise en danger concrète de sa personne. Il y a encore lieu de relever que, malgré des soins de premier ordre dispensés en Suisse depuis octobre 2007, son état de santé s'est malgré tout aggravé (cf. le rapport du 23 janvier 2009, ch. 1.4, p. 3, cité sous let. B supra) et n'a pas connu, depuis lors, d'amélioration significative.</w:t>
      </w:r>
    </w:p>
    <w:p>
      <w:r>
        <w:rPr>
          <w:b/>
        </w:rPr>
        <w:t>E. 6.5</w:t>
      </w:r>
    </w:p>
    <w:p>
      <w:r>
        <w:t>En conséquence, l'exécution du renvoi du recourant ne s'avère, aujourd'hui, pas raisonnablement exigible au sens de l'art. 83 al. 4 LEtr. En l'absence de réalisation de l'une au moins des hypothèses visées à l'art. 83 al. 7 LEtr, le recours doit être admis en tant qu'il porte sur l'exécution du renvoi et le recourant doit être mis au bénéfice d'une admission provisoire.</w:t>
      </w:r>
    </w:p>
    <w:p>
      <w:r>
        <w:rPr>
          <w:b/>
        </w:rPr>
        <w:t>E. 7.1</w:t>
      </w:r>
    </w:p>
    <w:p>
      <w:r>
        <w:t>Le recourant ayant été mis au bénéfice de l'assistance judiciaire partielle (cf. let. D supra), il n'est pas perçu de frais.</w:t>
      </w:r>
    </w:p>
    <w:p>
      <w:r>
        <w:rPr>
          <w:b/>
        </w:rPr>
        <w:t>E. 7.2</w:t>
      </w:r>
    </w:p>
    <w:p>
      <w:r>
        <w:t>Conformément à l'art. 64 al. 1 PA et à l'art. 7 al. 1 et 2 du règlement du 21 février 2008 concernant les frais, dépens et indemnités fixés par le Tribunal administratif fédéral (FITAF, RS 173.320.2), le recourant, qui a eu partiellement gain de cause, a droit à des dépens réduits pour les frais nécessaires causés par le litige. En l'absence de décompte de prestations (cf. art. 14 al. 2 FITAF), le montant de ceux-là est arrêté à Fr. 650.- (TVA comprise), cette somme tenant compte des activités essentielles menées par le mandataire du recourant sous l'angle de l'exécution du renvoi.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