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D-176/2017 vom 15. Dezember 2016</w:t>
      </w:r>
    </w:p>
    <w:p>
      <w:r>
        <w:t>Bundesverwaltungsgericht, 2016-12-15, IT</w:t>
      </w:r>
    </w:p>
    <w:p>
      <w:r>
        <w:rPr>
          <w:b/>
        </w:rPr>
        <w:t xml:space="preserve">Quelle: </w:t>
      </w:r>
      <w:r>
        <w:t>https://mcp.opencaselaw.ch/entscheid/bvger_D-176_2017</w:t>
      </w:r>
    </w:p>
    <w:p>
      <w:r>
        <w:t>FR: TAF D-176/2017 du 15 décembre 2016</w:t>
      </w:r>
    </w:p>
    <w:p>
      <w:r>
        <w:t>IT: TAF D-176/2017 del 15 dicembre 2016</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 ricorrente e dalla persona di fiducia ai sensi dell'art. 17 cpv. 3 LAsi in data 16 dicembre 2016 (cfr. atto A27).</w:t>
      </w:r>
    </w:p>
    <w:p>
      <w:r>
        <w:rPr>
          <w:b/>
        </w:rPr>
        <w:t>E. 1.4.1</w:t>
      </w:r>
    </w:p>
    <w:p>
      <w:r>
        <w:t>Vista la minore età del ricorrente al momento della sottoscrizione di tale atto, pare anzitutto opportuno apprezzare se egli abbia o meno potuto impegnarsi in tal senso ossequiando ai disposti applicabili in ambito di capacità civile e processuale.</w:t>
      </w:r>
    </w:p>
    <w:p>
      <w:r>
        <w:rPr>
          <w:b/>
        </w:rPr>
        <w:t>E. 1.4.1.1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5.2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1.4.1.2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2014, n. 170).</w:t>
      </w:r>
    </w:p>
    <w:p>
      <w:r>
        <w:rPr>
          <w:b/>
        </w:rPr>
        <w:t>E. 1.4.1.3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1.4.1.4</w:t>
      </w:r>
    </w:p>
    <w:p>
      <w:r>
        <w:t>Nel caso in disamina, vista l'età del ricorrente l'esistenza della capacità di discernimento non può essere posta in discussione. Alla luce di quanto esposto sin qui, se ne può dunque a ragione concludere che l'interessato sia stato legittimato a sottoscrivere solo la rinuncia la cui validità è dunque sotto tale aspetto da considerarsi pacifica (cfr. situazioni comparabili in sentenze del TAF D-5715/2016 del 4 maggio 2017 consid. 1.4.1.4, D-7341/2016 del 29 marzo 2017 consid. 1.4.1.4, D 6686/2016 dell'8 marzo 2017 consid. 1.4.1.4). In tal senso, la contemporanea sottoscrizione di tale atto da parte della persona di fiducia nulla toglie e nulla aggiunge a tale rigore ma attesta semmai la contemporanea presenza di tale figura al momento della firma. Ne consegue dunque che la censura ricorsuale secondo il cui tenore risulterebbe ad ogni modo quantomeno dubbioso che un richiedente l'asilo minorenne possa validamente sottoscrivere una rinuncia a ricorrere non merita tutela.</w:t>
      </w:r>
    </w:p>
    <w:p>
      <w:r>
        <w:rPr>
          <w:b/>
        </w:rPr>
        <w:t>E. 1.4.2</w:t>
      </w:r>
    </w:p>
    <w:p>
      <w:r>
        <w:t>Giunti a questa conclusione, si pone ora la questione della validità strictu sensu della rinuncia litigiosa.</w:t>
      </w:r>
    </w:p>
    <w:p>
      <w:r>
        <w:rPr>
          <w:b/>
        </w:rPr>
        <w:t>E. 1.4.2.1</w:t>
      </w:r>
    </w:p>
    <w:p>
      <w:r>
        <w:t>Genericamente, in diritto amministrativo, una rinuncia ad un diritto procedurale è di principio possibile purché si riferisca ad una facoltà concreta ed in libera disposizione delle parti (cfr. Peter Saladin, Das Verwaltungsverfahren des Bundes,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sentenze del TAF D-5715/2016 consid. 1.4.2.1, D-7341/2016 consid. 1.4.3.1, D 6686/2016 consid. 1.4.2.1, D-6152/2013 consid. 1.4.2).</w:t>
      </w:r>
    </w:p>
    <w:p>
      <w:r>
        <w:rPr>
          <w:b/>
        </w:rPr>
        <w:t>E. 1.4.2.2</w:t>
      </w:r>
    </w:p>
    <w:p>
      <w:r>
        <w:t>Considerato quanto precede e contrariamente da quanto ritenuto dall'insorgente, essendo la dichiarazione di rinuncia presente agli atti intervenuta posteriormente alla notificazione della decisione, essa deve di principio essere ritenuta valida. La stessa si riferisce infatti ad un concreto diritto processuale (o post-processuale) in libera disposizione dell'interessato e meglio, alla facoltà di interporre ricorso contro la decisione dell'autorità di prima istanza. In tal senso, occorre considerare che la decisione qui impugnata sia cresciuta in giudicato al momento della sottoscrizione di tale rinuncia. Non giova pertanto al ricorrente invocare la sentenza di principio del Tribunale federale DTF 141 III 596 la quale stabilisce che è inoperante la clausola con cui le parti rinunciano in anticipo a deferire al Tribunale federale, poiché appunto nel caso di specie si tratta di una rinuncia ad interporre ricorso intervenuta posteriormente alla notificazione della decisione. Inoltre, la posizione ricorsuale ulteriormente ribadita dal ricorrente con scritto del 10 aprile 2017 secondo la quale la rinuncia sia automaticamente da ritenersi inefficace in quanto contraria al principio di non-respingimento è fuorviante. Per il tramite della sottoscrizione di tale atto il ricorrente, peraltro ammesso provvisoriamente in Svizzera, non ha infatti rinunciato ad avvalersi di tale principio ma semplicemente ad impugnare la decisione dell'autorità di prime cure. La sua situazione, come detto, equivale infatti a quella di una persona che non si è avvalsa della facoltà di interporre ricorso entro il termine legale previsto. Considerare il contrario equivarrebbe quindi a ritenere obbligatoria l'interposizione di un'impugnativa onde evitare una violazione del suddetto principio, cosa che, ovviamente, non corrisponde alla realtà. Dalla dottrina e giurisprudenza citate non si può dunque dedurre alcunché.</w:t>
      </w:r>
    </w:p>
    <w:p>
      <w:r>
        <w:rPr>
          <w:b/>
        </w:rPr>
        <w:t>E. 1.4.2.3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1.4.2.4</w:t>
      </w:r>
    </w:p>
    <w:p>
      <w:r>
        <w:t>Orbene, nel caso in esame, le argomentazioni ricorsuali, non paiono poter accreditare una tale ipotesi. Al fine di concludere all'inefficacia della rinuncia, nel ricorso viene infatti anzitutto censurata la circostanza secondo la quale il ricorrente avrebbe indicato all'attuale patrocinatore di non aver compreso quanto si accingeva a sottoscrivere. Lo stesso mette espressamente in dubbio il corretto operato dell'interprete che non gli avrebbe nemmeno comunicato che si trattasse di sottoscrivere una rinuncia a ricorrere ed indirettamente anche l'agire della persona di fiducia, che non si sarebbe adoperata a correggere una tale manchevolezza. Il ricorrente da inoltre particolare enfasi al fatto che né il ricorrente né tantomeno la persona di fiducia avrebbero preso conoscenza dei verbali d'audizione. 1.4.2.4.1. Per meglio evadere la doglianza, è anzitutto necessario rilevare che la persona di fiducia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1.4.2.4.2. Nel caso che ci occupa, la SEM, come da prassi, ha proceduto prendendo contatto con il Servizio Richiedenti asilo del Soccorso operaio svizzero, nella persona del lic. iur. Mario Amato, conferendo a tale ente il mandato per l'incarico di persona di fiducia e richiedendone nel contempo la presenza in occasione della già programmata audizione sui motivi d'asilo (cfr. atto A20). Parimenti, essa ha richiesto il regolare intervento di un interprete in sede di notifica. Ora, in casu non vi sono agli atti elementi concreti che permettano di mettere in discussione le conoscenze e l'agire della persona chiamata a svolgere tale ruolo. Il profilo scelto dispone infatti, alla luce della sua formazione, delle qualifiche necessarie ai sensi della giurisprudenza e ha inoltre agito in piena indipendenza dall'autorità di prime cure. Visti tali presupposti, ritenere che nonostante ciò l'interprete, le cui credenziali non possono a loro volta messe in discussione, in presenza della persona di fiducia, non abbia fatto nemmeno menzione del fatto che si trattasse di sottoscrivere una rinuncia ad un impugnativa e che la stessa persona di fiducia non abbia avuto alcunché da rimostrare al proposito appare del tutto inconcepibile. Una tale evenienza è del resto fortemente messa in dubbio già solo dal tenore letterale della dichiarazione. Il documento in questione reca infatti espressa menzione del fatto che le implicazioni della decisione sono state debitamente spiegate dalla persona di fiducia durante un colloquio successivo alla notifica della decisione stessa e che la ricorrente si stata trovata in accordo con il contenuto della stessa. Va dappoi osservato che in dei recenti casi simili il Tribunale ha già avuto modo di constatare come la finalità dell'autorità di prime cure non sia quella di porre in essere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il tutto correlato da un congruo momento di riflessione al fine di maturare la propria decisione in merito (cfr. sentenze del TAF D-5715/2016 consid. 1.4.2.4, D-7341/2016 consid. 1.4.3.4, D-6686/2016 consid. 1.4.2.3). Ne viene dunque che la tesi ricorsuale secondo la quale l'insorgente non fosse a conoscenza del contenuto della dichiarazione che si apprestava a sottoscrivere si esaurisce in una mera valutazione di parte non corroborata da alcun elemento concreto al suo sostegno. Ciò detto, mal si comprende infine la correlata censura secondo il cui senso né il ricorrente né tantomeno la persona di fiducia avrebbero preso conoscenza dei verbali d'audizione al fine di valutare l'appropriatezza della rinuncia. In primo luogo, anche a tal proposito, il tenore stesso della dichiarazione lascia intendere ben altro, e meglio, che sia stata data facoltà di consultazione al ricorrente, quantomeno su richiesta. Se poi il ricorrente, su consiglio della la persona di fiducia, non abbia in tale sede ritenuto opportuno avvalersi di una tale facoltà è però ancora un'altra questione. Va infatti qui ribadito come non stia in questa sede al Tribunale sostituirsi alle valutazioni di opportunità operate dalla persona di fiducia al momento dello scambio di opinioni con il ricorrente. Si può infatti partire dal presupposto che fino a prova contraria, quest'ultima, forte dell'esperienza nella materia e sulla base di valutazioni di varia natura, non quindi solo di merito, abbia in quel momento ritenuto appropriato consigliare al minore di procedere alla sottoscrizione e ciò anche nel caso in cui - cosa peraltro tutt'altro che dimostrata - non abbia proceduto alla consultazione dei verbali (di cui d'altronde conosceva il tenore essendo stato presente al momento dell'audizione ex art. 29 LAsi).</w:t>
      </w:r>
    </w:p>
    <w:p>
      <w:r>
        <w:rPr>
          <w:b/>
        </w:rPr>
        <w:t>E. 1.4.3</w:t>
      </w:r>
    </w:p>
    <w:p>
      <w:r>
        <w:t>Occorre dunque concludere che la rinuncia a ricorrere sottoscritta dall'interessato il 16 dicembre 2016 sia efficace ed abbia quale conseguenza l'entrata in forza di cosa giudicata formale della decisione della SEM del 15 dicembre 2016.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 Ai sensi dell'art. 111a cpv. 1 LAsi, anche in questi casi è possibile rinunciare allo scambio scritti.</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 ricorrente erano sin dall'inizio prive di probabilità di successo.</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w:t>
      </w:r>
    </w:p>
    <w:p>
      <w:r>
        <w:rPr>
          <w:b/>
        </w:rPr>
        <w:t>E. 6</w:t>
      </w:r>
    </w:p>
    <w:p>
      <w:r>
        <w:t>Vista l'inammissibilità del gravame non è d'uopo analizzare le altre doglianze ricorsuali.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