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D-1769/2015 vom 7. April 2015</w:t>
      </w:r>
    </w:p>
    <w:p>
      <w:r>
        <w:t>Bundesverwaltungsgericht, 2015-04-07, DE</w:t>
      </w:r>
    </w:p>
    <w:p>
      <w:r>
        <w:rPr>
          <w:b/>
        </w:rPr>
        <w:t xml:space="preserve">Quelle: </w:t>
      </w:r>
      <w:r>
        <w:t>https://mcp.opencaselaw.ch/entscheid/bvger_D-1769_2015</w:t>
      </w:r>
    </w:p>
    <w:p>
      <w:r>
        <w:t>FR: TAF D-1769/2015 du 7 avril 2015</w:t>
      </w:r>
    </w:p>
    <w:p>
      <w:r>
        <w:t>IT: TAF D-1769/2015 del 7 aprile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Abs. 1 VwVG).</w:t>
      </w:r>
    </w:p>
    <w:p>
      <w:r>
        <w:rPr>
          <w:b/>
        </w:rPr>
        <w:t>E. 3.1</w:t>
      </w:r>
    </w:p>
    <w:p>
      <w:r>
        <w:t>Über offensichtlich unbegründete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3.2</w:t>
      </w:r>
    </w:p>
    <w:p>
      <w:r>
        <w:t>Gestützt auf Art. 111a Abs. 1 AsylG wird auf einen Schriftenwechsel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 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5.1</w:t>
      </w:r>
    </w:p>
    <w:p>
      <w:r>
        <w:t>Der Beschwerdeführer begründete sein Wiedererwägungsgesuch mit der Eingabe vom 20. Oktober 2014 und der nachfolgenden Stellungnahme vom 23. Dezember 2014 im Wesentlichen damit, er könne nunmehr beweisen, dass er in Bezug auf seine Verfolgungssituation - die ihm bisher nicht geglaubt worden sei - die Wahrheit gesagt habe. Eine Bestätigung des Ortsvorstehers seines ehemaligen Wohnortes in Afghanistan (Stadt B._______, Provinz Faryab) belege, dass ihm der Ehemann seiner ehemaligen Geliebten nach wie vor nach dem Leben trachte. Weiter machte er - unter dem Aspekt der Durchführbarkeit des Wegweisungsvollzugs - geltend, die Familie, welche ihn vor seiner Ausreise aus Afghanistan vorübergehend in Kabul beherbergt habe, sei mittlerweile nämlich vor acht Monaten aus der Stadt weggezogen und lebe heute im Iran. Mit dem Wiedererwägungsgesuch vom 20. Oktober 2014 reichte er die erwähnte Bestätigung des Ortsvorstehers der Stadt B._______ ein. Ferner übermittelte er der Vorinstanz mit Eingabe vom 27. Januar 2015 zwei Photographien, welche die vier Mitglieder der besagten Familie namens C._______ zeigen sollen, sowie - gemäss eigener Aussage den Original-Mietvertrag der Wohnung der Familie C._______ im Iran.</w:t>
      </w:r>
    </w:p>
    <w:p>
      <w:r>
        <w:rPr>
          <w:b/>
        </w:rPr>
        <w:t>E. 5.2</w:t>
      </w:r>
    </w:p>
    <w:p>
      <w:r>
        <w:t>Das SEM begründete die Ablehnung des Wiedererwägungsgesuchs in der angefochtenen Verfügung im Wesentlichen damit, die vom Beschwerdeführer eingereichten Dokumente seien nicht beweistauglich. Ausserdem habe der Beschwerdeführer bereits zu einem früheren Zeitpunkt nämlich anlässlich einer am 3. April 2013 erfolgten Anhörung im Zusammenhang mit seinem zweiten Asylgesuch behauptet, jene Familie, die ihn in Kabul beherbergt habe, sei aus der Stadt in Richtung Iran weggezogen. Das Vorbringen im Wiedererwägungsverfahren, die Familie C._______ habe Kabul vor acht Monaten verlassen, stehe dazu in offensichtlichem Widerspruch.</w:t>
      </w:r>
    </w:p>
    <w:p>
      <w:r>
        <w:rPr>
          <w:b/>
        </w:rPr>
        <w:t>E. 5.3</w:t>
      </w:r>
    </w:p>
    <w:p>
      <w:r>
        <w:t>Mit der Beschwerdeschrift werden im Wesentlichen die gegenüber der Vorinstanz vorgebrachten Behauptungen wiederholt. Des Weiteren reichte der Beschwerdeführer mit der Beschwerdeeingabe ein weiteres Schreiben des Ortsvorstehers der Stadt B._______ sowie einen Internetbericht zur Situation in Afghanistan ein.</w:t>
      </w:r>
    </w:p>
    <w:p>
      <w:r>
        <w:rPr>
          <w:b/>
        </w:rPr>
        <w:t>E. 6.1</w:t>
      </w:r>
    </w:p>
    <w:p>
      <w:r>
        <w:t>Zur Begründung seines ersten Asylgesuchs gab der Beschwerdeführer im Wesentlichen an, er habe Afghanistan wegen eines Beziehungsstreits verlassen müssen. Er habe um die Hand einer Frau namens D._______ angehalten, was aber durch deren Familie abgelehnt worden sei. D._______ sei in der Folge mit einem Mann namens E._______ verlobt worden. Jener E._______ habe behauptet, der Beschwerdeführer habe mit D._______ eine geschlechtliche Beziehung gehabt, und damit gedroht, ihn umzubringen. Das damalige BFM begründete die Ablehnung des ersten Asylgesuchs mit Verfügung vom 19. April 2011 im Wesentlichen damit, die Vorbringen des Beschwerdeführers seien nicht glaubhaft. Diese Einschätzung wurde durch das Bundesverwaltungsgericht mit Urteil vom 3. Juli 2012 als zutreffend erachtet. Dabei stützte das Gericht die Beurteilung des Bundesamts, die Angaben des Beschwerdeführers in Bezug auf seine Beziehung zu D._______ seien vor dem Hintergrund des traditionell-muslimisch geprägten Gesellschaftssystems in Afghanistan, namentlich in seiner Herkunftsprovinz Faryab, als realitätsfremd zu qualifizieren.</w:t>
      </w:r>
    </w:p>
    <w:p>
      <w:r>
        <w:rPr>
          <w:b/>
        </w:rPr>
        <w:t>E. 6.2</w:t>
      </w:r>
    </w:p>
    <w:p>
      <w:r>
        <w:t>Mit seinem Wiedererwägungsgesuch und der vorliegenden Beschwerde versucht der Beschwerdeführer zum einen, die im Rahmen des ersten Asylgesuchs vorgebrachten Asylgründe mittels neuer Beweismittel zu belegen. Diese sind zwar mutmasslich - da die beiden eingereichten Schreiben gemäss den vorhandenen deutschen Übersetzungen nicht datiert sind, nach Angaben des Beschwerdeführers aber aus jüngster Zeit stammen - erst nachträglich entstanden. Nach dem zuvor Gesagten (E. 4, unter Hinweis auf BVGE 2013/22 E. 12.3) sind diese im vorliegenden Verfahren gleichwohl zu berücksichtigen.</w:t>
      </w:r>
    </w:p>
    <w:p>
      <w:r>
        <w:rPr>
          <w:b/>
        </w:rPr>
        <w:t>E. 6.3</w:t>
      </w:r>
    </w:p>
    <w:p>
      <w:r>
        <w:t>Dabei erweist sich, dass die genannten Beweismittel offensichtlich nicht geeignet sind, zu einer geänderten Beurteilung der Glaubhaftigkeit der Asylvorbringen zu führen. Der eingereichte Auszug aus dem Internet ein Zeitungsartikel zur Zahl der Kriegsopfer in Afghanistan entbehrt jeden Zusammenhangs mit den persönlichen Vorbringen des Beschwerdeführers. Das mit der Beschwerdeschrift eingereichte Schreiben des Ortsvorstehers der Stadt B._______, einer Person namens F._______, enthält unter anderem folgende Aussage: Der Beschwerdeführer, wohnhaft im Kreis zwei der Stadt B._______, werde durch eine Person namens E._______ verfolgt und mit dem Tod bedroht. Der Beschwerdeführer solle deshalb, sofern er die Möglichkeit habe, für einige Zeit die Gegend verlassen. Mithin soll sich der Beschwerdeführer zufolge dieses Schreibens nach wie vor in der fraglichen Region in Afghanistan aufhalten. Es ist als offensichtlich zu bezeichnen, dass die im Schreiben enthaltenen Angaben nicht die tatsächliche aktuelle Lebenssituation des Beschwerdeführers wiedergeben, der sich seit seiner Einreise am 9. März 2011 ununterbrochen in der Schweiz aufhält. Die beiden Schreiben der Person namens F._______ sind somit als gefälscht zu erachten.</w:t>
      </w:r>
    </w:p>
    <w:p>
      <w:r>
        <w:rPr>
          <w:b/>
        </w:rPr>
        <w:t>E. 6.4</w:t>
      </w:r>
    </w:p>
    <w:p>
      <w:r>
        <w:t>Weiter machte der Beschwerdeführer im Rahmen seines Wiedererwägungsgesuchs geltend, die Voraussetzungen für die Durchführbarkeit des Wegweisungsvollzugs nach Afghanistan beziehungsweise in die Hauptstadt Kabul hätten sich entscheidend verändert. Nämlich sei jene Familie namens C._______, die ihn vor seiner Ausreise aus Afghanistan während dreier Monate in Kabul beherbergt habe, vor acht Monaten aus der Stadt weggezogen und lebe nun im Iran. Diesbezüglich ist in Übereinstimmung mit der Vorinstanz festzustellen, dass der Beschwerdeführer bereits am 3. April 2013 bei einer Anhörung im Zusammenhang mit seinem zweiten Asylgesuch behauptete, eine Person namens C._______, bei der es sich um eine Verwandte beziehungsweise die beste Freundin seiner Mutter handle, sei mit ihren drei volljährigen Kindern aus Kabul weggezogen und in den Iran gegangen (entsprechendes Protokoll, S. 5 f.). Die betreffenden Behauptungen im Wiedererwägungsverfahren erweisen sich somit als offensichtlich widersprüchlich und können nicht geglaubt werden. Im Übrigen ist auch in keiner Weise ersichtlich, inwiefern die in diesem Zusammenhang eingereichten Beweismittel zwei Photographien und ein iranischer Mietvertrag den behaupteten Umstand beweisen könnten, in Kabul würden sich zum heutigen Zeitpunkt keine Bezugspersonen des Beschwerdeführers mehr aufhalten. Schliesslich ist ausserdem festzuhalten, dass nicht nachvollziehbar ist, weshalb die genannte Familie dem Beschwerdeführer den Original-Mietvertrag ihrer Wohnung zukommen lassen sollte, und es drängt sich somit auch unter diesem Gesichtspunkt die Vermutung auf, bei diesem Beweismittel handle es sich ebenfalls um eine Fälschung.</w:t>
      </w:r>
    </w:p>
    <w:p>
      <w:r>
        <w:rPr>
          <w:b/>
        </w:rPr>
        <w:t>E. 7</w:t>
      </w:r>
    </w:p>
    <w:p>
      <w:r>
        <w:t>Aus den angestellten Erwägungen ergibt sich, dass das SEM das Wiedererwägungsgesuch des Beschwerdeführers zu Recht abgelehnt hat. Die vorliegende Beschwerde ist folglich abzuweisen.</w:t>
      </w:r>
    </w:p>
    <w:p>
      <w:r>
        <w:rPr>
          <w:b/>
        </w:rPr>
        <w:t>E. 8</w:t>
      </w:r>
    </w:p>
    <w:p>
      <w:r>
        <w:t>Bei diesem Ausgang des Verfahrens sind dessen Kosten dem Be­schwerdeführer aufzuerlegen (Art. 63 Abs. 1 VwVG). Die Kosten werden auf Fr. 1'200.- festgesetzt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