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D-1761/2009 vom 16. April 2012</w:t>
      </w:r>
    </w:p>
    <w:p>
      <w:r>
        <w:t>Bundesverwaltungsgericht, 2012-04-16, DE</w:t>
      </w:r>
    </w:p>
    <w:p>
      <w:r>
        <w:rPr>
          <w:b/>
        </w:rPr>
        <w:t xml:space="preserve">Quelle: </w:t>
      </w:r>
      <w:r>
        <w:t>https://mcp.opencaselaw.ch/entscheid/bvger_D-1761_2009</w:t>
      </w:r>
    </w:p>
    <w:p>
      <w:r>
        <w:t>FR: TAF D-1761/2009 du 16 avril 2012</w:t>
      </w:r>
    </w:p>
    <w:p>
      <w:r>
        <w:t>IT: TAF D-1761/2009 del 16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lehnte das Asylgesuch des Beschwerdeführers aufgrund diverser Unglaubhaftigkeitselemente in dessen Schilderungen als den Anforderungen an Art. 7 AsylG nicht genügend ab. Das Bundesverwaltungsgericht schliesst sich nach Prüfung der Akten den vom BFM unter Angabe der jeweiligen Fundstellen in den Protokollen getroffenen Feststellungen und gezogenen Schlussfolgerungen an. Um Wiederholungen zu vermeiden, kann daher auf die nicht zu beanstandenden Erwägungen in der angefochtenen Verfügung verwiesen werden. Lediglich ergänzend ist festzuhalten, dass im Zusammenhang rund um die vom Beschwerdeführer und seinem Bruder (H.M.) angeblich zu entwendenden brisanten Beweismittel (u.a. Zeitpunkt der Publikation, Aufbewahrungsort; I/3 der angefochtenen Verfügung) von der Vorinstanz unzutreffende Protokollstellen genannt werden, was indes den Aussagegehalt der entsprechenden Erwägungen des BFM respektive die Richtigkeit der von ihm gezogenen Schlussfolgerungen in keiner Weise zu schmälern vermag. Nicht zuletzt ist zu dieser Begebenheit auch zu vermerken, dass der Beschwerdeführer in der Rechtsmitteleingabe dazu kein Wort verliert.</w:t>
      </w:r>
    </w:p>
    <w:p>
      <w:r>
        <w:rPr>
          <w:b/>
        </w:rPr>
        <w:t>E. 4.2</w:t>
      </w:r>
    </w:p>
    <w:p>
      <w:r>
        <w:t>Die Vorbringen des Beschwerdeführers in der Rechtsmitteleingabe sind nicht geeignet, die vorinstanzlichen Erwägungen zu entkräften. Den Ausführungen des BFM in der angefochtenen Verfügung werden keine stichhaltigen Gründe entgegengesetzt, welche dessen Argumentation widerlegen könnten. Sodann gilt es in diesem Zusammenhang zudem festzuhalten, dass der Beschwerdeführer bloss mit pauschalen Ausführungen ein paar wenigen, ihm von der Vorinstanz vorgeworfenen Unglaubhaftigkeitselemente begegnet. Eine vertiefte Auseinandersetzung mit diesen wenigen Begründungselementen des BFM in der angefochtenen Verfügung findet nicht statt (vgl. dazu sogleich nachstehend E. 4.3 und 4.4). Ferner stellt sich heraus, dass sich die Vorbringen des Beschwerdeführers, der sich übrigens auf dieselben fluchtauslösenden Ausreisegründe wie sein Bruder H.M. beruft, ansonsten inhaltlich identisch mit denjenigen in der Beschwerde seines Bruder H.M. erweisen, welche vom gleichen Rechtsvertreter verfasst und wegen Unglaubhaftigkeit der Darlegungen vom Bundesverwaltungsgericht mit Urteil gleichen Datums wie das vorliegende abgewiesen wurde. So erschöpfen sich die entsprechenden Sichtweisen in den beiden Beschwerden unter anderem darin, die angeblichen Widersprüche als unbedeutend und die Asylgründe nicht entkräftend darzustellen respektive es wird ausgeführt, dass von Widersprüchen und fragwürdigen Angaben keine Rede sein könne; ebenso nicht von ausweichenden Aussagen und solchen von sehr allgemeinem Beschrieb. Schliesslich begründet der Rechtsvertreter die Ablehnung in der angefochtenen Verfügung mit einem voreingenommenen Ablehnungsmuster der Vorinstanz. Angesichts dieser Sachlage rechtfertigt es sich zur Vermeidung von Wiederholungen, grundsätzlich auf die in diesem Zusammenhang ergangenen Erwägungen 4.2 im Urteil D-1762/2009 des Bundesverwaltungsgerichts zu verweisen, welche den Bruder H.M. des Beschwerdeführers betreffen.</w:t>
      </w:r>
    </w:p>
    <w:p>
      <w:r>
        <w:rPr>
          <w:b/>
        </w:rPr>
        <w:t>E. 4.3</w:t>
      </w:r>
    </w:p>
    <w:p>
      <w:r>
        <w:t>Wie unter E. 4.2 erwähnt unterlässt es der Beschwerdeführer, Hinweise oder Aufschlüsse zu vermitteln, die Klärung in die ihm vom BFM vorgeworfenen Unstimmigkeiten bringen könnten. Zur Art und Weise wie der telefonische Kontakt mit D.______ zustande gekommen sei, wird in einer versuchten Anpassung an den Sachverhalt abschliessend und zusammenfassend lediglich rudimentär ausgeführt, die Angaben des Beschwerdeführers bräuchten nicht falsch zu sein. Vor allem sei das nicht entscheidrelevant. Gleichermassen verhält es sich mit den bei den beiden Anhörungen unterschiedlich zu Protokoll gegebenen Antworten hinsichtlich des Asylgrundes, wonach er und H.M. gemäss Erstanhörung vom Kriminalamt gesucht würden, weil dieses ihnen die Ermordung ihres Freundes G. in die Schuhe schieben wolle, was im Gegensatz bei der Bundesanhörung erst auf Vorhalt hin geschehen sei. Aus den diesbezüglich recht unsorgfältig redigierten Ausführungen in der Rechtsmitteleingabe geht hervor, dass der Beschwerdeführer in der Erstbefragung angeblich nicht genau alles vorgebracht, sondern dieses Sachverhaltselement erst bei der Zweitbefragung (beim zweiten Mal) erwähnt haben soll. Mithin wird die Divergenz eingeräumt. Ebensowenig zu überzeugen vermag die Begründung zur unterschiedlich geschilderten Todesursache von G., von der der Beschwerdeführer nur vom Hörensagen vernommen haben will. Anlässlich der summarischen Befragung habe er bloss in einem Nebensatz erwähnt, dass G. erschossen worden sei, während er demgegenüber bei der Bundesanhörung in einer langen ununterbrochen protokollierten Schilderung ausgesagt habe, G. sei an den Folgen eines Schlags durch einen Gummiknüppel an den Kopf gestorben. Es ist aber kaum nachvollziehbar, dass ein den Beschwerdeführer prägendes Vorkommnis, das im Zeitpunkt der Befragung im EVZ bereits bestand gegenüber der bloss 14 Tage später stattfindenden Bundesanhörung derart verschieden geschildert werden soll. Der Einwand, aus diesem angeblichen Unterschied einen Widerspruch zu konstruieren und damit die Ablehnung des Asylgesuchs zu begründen, sei nicht fair und rechtstaatlich unhaltbar, ist selbstredend zurückzuweisen.</w:t>
      </w:r>
    </w:p>
    <w:p>
      <w:r>
        <w:rPr>
          <w:b/>
        </w:rPr>
        <w:t>E. 4.4</w:t>
      </w:r>
    </w:p>
    <w:p>
      <w:r>
        <w:t>Der Einwand auf Seite 4 der Rechtsmitteleingabe, wonach der Beschwerdeführer sämtliche ihm gestellten Fragen glaubhaft und überzeugend beantwortet habe, weshalb sich die in der angefochtenen Verfügung angeführte Begründung (die Asylvorbringen seien zu wenig detailreich, substanziiert, konkret und differenziert; I/2 der vorinstanzlichen Verfügung) als Scheinargument entpuppe, kann nicht gehört werden. Insbesondere unter dem Gesichtspunkt der den Aussagen des Beschwerdeführers zugrunde liegenden Vorkommnissen (A 8 S. 13 F. 101), welche bei ihm die nachhaltigsten und unvergesslichsten Erinnerungen bewirkt haben sollen, greift die Argumentation zu kurz. Zur Vermeidung von Wiederholungen ist einerseits - wie bereits oben unter E. 4.2 erwähnt - grundsätzlich auf die hierzu im Urteil des Bruders H.M. ergangenen Erwägung zu verweisen. Andererseits ist festzuhalten, dass der Beschwerdeführer anlässlich der Erstbefragung zu diesen für das Verlassen des Heimatlandes ausschlaggebenden Ereignissen vom 27. Februar und 1. März 2008 keine namhaften Ausführungen machte. Schliesslich erweist sich der Vorwurf der tatsachenwidrigen Behauptung auf Seite 5 der Rechtsmitteleingabe als völlig verfehlt. Aus der Begründung in der angefochtenen Verfügung (I/3) geht zweifelsfrei hervor, dass nicht vom Beschwerdeführer, sondern von D.______ die Rede ist, der "bereits in verschiedenen Gerichtsverfahren" gestanden hat und dass die Kriminalbeamten legal die besagten Dokumente "wie bereits in anderen Verfahren" hätten beschaffen können. Bei dieser Sachlage und in Ermangelung näherer Hinweise oder Aufschlüsse für eine (asyl-) relevante Gefährdungssituation des Beschwerdeführers erübrigen sich weitere Erörterungen. 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 Entscheidungen und Mitteilungen der Schweizerischen Asylrekurskommission [EMARK] 2001 Nr. 21). 6.1.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Der Vollständigkeit halber ist festzuhalten, dass die armenische Staatsangehörigkeit des Beschwerdeführers für das Bundesverwaltungsgericht aufgrund der Akten unbestritten ist. Selbst der Beschwerdeführer liess während der verschiedenen Verfahrensschritten nie Zweifel in diesem Zusammenhang aufkommen. Aus dem Rubrum der angefochtenen Verfügung ergibt sich diesbezüglich ebenfalls keine andere Interpretationsmöglichkeit. Die entsprechenden Ausführungen im Entscheid des BFM vom 13. Februar 2009 (II/1. Abschnitt/S.5) sind daher unverständlich respektive überflüssig, jedenfalls sind sie nicht geeignet, eine Änderung der angefochtenen Verfügung zu bewirken. Mithin erübrigen sich weitere Erörterungen hierzu. 6.2.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6.3.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 6.4.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Eine Situation, welche den Beschwerdeführer als "Gewalt- oder de-facto-Flüchtling" qualifizieren würde, lässt sich aufgrund der heuti­gen Situation in Armenien nicht in genereller Form bejahen. Weder sind in­dividuelle Unzumutbarkeitsaspekte aktenkundig noch wurden solche in der Rechtsschrift geltend gemacht. Aus den Akten erge­ben sich kei­ne konkreten Anhaltspunkte, aufgrund derer allenfalls ge­schlossen werden könnte, der Beschwerdeführer gerate im Falle der Rückkehr in seinen Heimatstaat aus Gründen wirtschaftlicher, sozialer oder ge­sundheitlicher Natur in eine existenzbedrohende Situation. Der ledige über eine achtjährige Schulbildung verfügende Beschwerdeführer verneinte - ausser den geltend gemachten und als unglaubhaft erachteten Nachteilen - ausdrücklich allfällige Probleme mit den heimatlichen Behörden (Protokoll EVZ S. 3 und 7). Gemäss seinen Angaben arbeitete er vor seiner Ausreise aus Armenien während Jahren mit seinem Bruder H.M. in der Landwirtschaft und erklärte, dass die Familie keine finanziellen Probleme gehabt und ein ganz normales, gutes Einkommen erzielt hätte (Protokoll EVZ S. 3; Protokoll direkte Bundesanhörung S. 13). Soweit aktenkundig ist er gesund und im Falle einer Rück­kehr ins Heimatland nicht auf sich alleine gestellt, kann er dort doch auf ein familiäres Beziehungsnetz (Eltern, Onkel) zurückgreifen, was eine Reintegration zweifelsohne erleichtern dürfte. Darüberhinaus ergeht ein abweisendes Urteil des Bundesverwaltungsgericht in Sachen seines Bruders H.M. sowie dessen Ehefrau und Kinder (D-1762/2009 und D-6365/2011), welche durch den gleichen Rechtsvertreter wie der Beschwerdeführer vertreten werden, zum selben Zeitpunkt. In Berücksichti­gung dieser Aspekte ist der Vollzug der Wegweisung als zumutbar zu erachten. 6.5. 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 6.6. 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Mit Zwischenverfügung vom 3. April 2009 wurde das Gesuch um Gewährung der unentgeltlichen Rechtspflege im Sinne von Art. 65 Abs. 1 VwVG unter Vorbehalt einer nachträglichen Änderung der finanziellen Verhältnisse des Beschwerdeführers gutgeheissen (vgl. Bst. D hiervor). Da der Beschwerdeführer gemäss den vorliegenden Akten aktuell nach wie vor nicht erwerbstätig ist, kann davon ausgegangen werden, dass er prozessual bedürftig ist. Auf die Auferlegung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