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D-1759/2009 vom 18. Mai 2011</w:t>
      </w:r>
    </w:p>
    <w:p>
      <w:r>
        <w:t>Bundesverwaltungsgericht, 2011-05-18, DE</w:t>
      </w:r>
    </w:p>
    <w:p>
      <w:r>
        <w:rPr>
          <w:b/>
        </w:rPr>
        <w:t xml:space="preserve">Quelle: </w:t>
      </w:r>
      <w:r>
        <w:t>https://mcp.opencaselaw.ch/entscheid/bvger_D-1759_2009</w:t>
      </w:r>
    </w:p>
    <w:p>
      <w:r>
        <w:t>FR: TAF D-1759/2009 du 18 mai 2011</w:t>
      </w:r>
    </w:p>
    <w:p>
      <w:r>
        <w:t>IT: TAF D-1759/2009 del 18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ihrer Beschwerdebegründung sowie in ihrer Eingabe vom 6. April 2011 machen die Beschwerdeführenden im Wesentlichen geltend, die Beschwerdeführerin habe ihrem Ehemann nichts davon erzählt, dass sie bei den Besuchen der Männer der ST herumgeschubst und geschlagen worden sei, dies aus Angst vor einer inadäquaten Reaktion ihres Ehemannes. Seit sich die Familie im Asylverfahren in der Schweiz befinde, wisse der Beschwerdeführer Bescheid über die Geschehnisse, die ihm seine Ehefrau vorenthalten habe, doch könne er nicht sagen, wie er regiert hätte, wenn er es schon von Anfang an gewusst hätte. Was den Beitritt des Beschwerdeführers zur ST betreffe, so habe es dieser ursprünglich als sinnvoll empfunden, einer Gruppierung anzugehören, die den Glauben damals intensiver gelebt habe und noch friedlich gewesen sei. Spätere illegale Praktiken hätten ihm indessen die Augen geöffnet. Er habe sich dann mit dem Waffenbesitz und dem illegalen Vorgehen der Gruppierung nicht mehr identifizieren können, zumal seiner Meinung nach der Glaube friedlich zu praktizieren sei. Demgegenüber sei von ihm konkret verlangt worden, er solle für einen religiösen Brauch Kühe stehlen, die dann hätten geschlachtet werden sollen. Darüber hinaus sei er auch dazu aufgefordert worden, sich Geld nötigenfalls auf illegale Weise zu beschaffen, um diese Mittel für die Waffenbeschaffung zugunsten dieser Gruppierung zu verwenden. Des Weiteren bestätigten die Beschwerdeführenden auch bei dieser Gelegenheit, dass die Männer der ST ihren noch sehr kleinen Kindern Waffen in die Hände gegeben hätten. Damit hätten sie die Familie des Beschwerdeführers zum Wiedereinstieg bei der ST motivieren wollen. Was schliesslich den Besuch der Polizei bei seiner Mutter anbelange, so habe er den Grund hiefür nicht in Erfahrung bringen können, doch gehe er davon aus, dass Mitglieder der ST die Polizei bestochen hätten, um ihm Schwierigkeiten mit der Polizei zu bereiten. Dem Bericht vom 1. Februar 2011 des Universitätsspitals O._______ zufolge wurde im Schädel der Beschwerdeführerin eine Kolloidzyste diagnostiziert. Die Beschwerdeführerin sei bereits im Juli 2010 über die Notwendigkeit einer Operation aufgeklärt worden, doch habe sie zu jenem Zeitpunkt keine derartige Therapie gewünscht. Es lägen darüber hinaus verschiedene Hinweise vor, dass die Beschwerdeführenden bei ihrer Rückkehr in den Heimatstaat insbesondere aus Gründen wirtschaftlicher und sozialer Natur in eine existenzbedrohende Situation geraten würden. So hätten sie einerseits für drei Kinder im Kleinkindalter zu sorgen, hätten aber andererseits kein tragfähiges soziales Netz in Pakistan. Beiden fehle eine nennenswerte Ausbildung, und sie hätten ihr gesamtes Hab und Gut mit der Ausreise verloren. Dementsprechend sei in casu das Kindeswohl in Frage gestellt und den Beschwerdeführenden der Wegweisungsvollzug nach Pakistan nicht zuzumuten.</w:t>
      </w:r>
    </w:p>
    <w:p>
      <w:r>
        <w:rPr>
          <w:b/>
        </w:rPr>
        <w:t>E. 4.2</w:t>
      </w:r>
    </w:p>
    <w:p>
      <w:r>
        <w:t>Das Bundesverwaltungsgericht ist an die Begründung der Vorinstanz nicht gebunden (vgl. Art. 62 Abs. 4 VwVG), weshalb es die Entscheidbegründung des BFM durch eine andere ersetzen und eine Beschwerde aus andern Überlegungen als jenen des BFM abweisen kann (sog. Motivsubstitution; vgl. MADELEINE CAMPRUBI in: AUER/MÜLLER/SCHINDLER [HRSG.], VwVG, Kommentar zum Bundesgesetz über das Verwaltungsverfahren, Zürich/St. Gallen 2008, N 15 zu Art. 62 VwVG; ALFRED KÖLZ/ISABELLE HÄNER, Verwaltungsverfahren und Verwaltungsrechtspflege des Bundes, 2. Aufl., Zürich 1998, S. 240, Rz. 677).</w:t>
      </w:r>
    </w:p>
    <w:p>
      <w:r>
        <w:rPr>
          <w:b/>
        </w:rPr>
        <w:t>E. 4.3</w:t>
      </w:r>
    </w:p>
    <w:p>
      <w:r>
        <w:t>In ihrer Eingabe vom 6. April 2011 nahmen die Beschwerdeführenden Stellung zur einer allfälligen Motivsubstitution, einer Würdigung ihrer Vorbringen unter dem Gesichtspunkt der Glaubhaftigkeit. Die entsprechenden Vorbringen vermögen indessen nicht zu einer veränderten Betrachtungsweise zu führen. Für das Bundesverwaltungsgericht drängt sich nämlich aufgrund der Vorbringen namentlich des Beschwerdeführers weiterhin der Eindruck auf, er habe bei seinen Vorbringen nicht auf Erinnerungen an tatsächliche Begebenheiten zurückgreifen können. So ist es wirklichkeitsfremd, wenn der Beschwerdeführer als angeblicher Anhänger der ST nach dem anscheinend völlig unproblematischen Austritt aus dieser Organisation (A12/12 F64 - F66 S. 7) vom 6. Oktober 2008 an, also ungefähr sieben Jahre später, unvermittelt die grössten Probleme mit ihr bekommt (A12/12 F67, F68 S. 8), weil er aus Sicht von Anhängern dieser Organisation unbedingt wieder Mitglied (A12/12 F71 S. 8) werden muss und sie ihn im Weigerungsfall mit der Entführung der Kinder bedrohen (A12/12 F91 S. 10). Gleichzeitig war der Beschwerdeführer aber ausserstande, zu erklären, aus welchem Grund er sich gerade der ST angeschlossen habe (A12/12 F37 - F43 S. 5 und 6). Noch weniger gelang es ihm, den Grund für seinen Austritt klar darzulegen (A12/12 F57 - F59 S. 7). Wenn er tatsächlich aufgefordert worden wäre, sich als Kuhdieb zu betätigen und Gelder auf illegale Weise zu beschaffen, wie in der Eingabe vom 6. April 2011 geltend gemacht wird, wäre ihm dies vermutungsweise bereits anlässlich der direkten Anhörung vom 15. Januar 2009 eingefallen. Stattdessen begründete er seinen Austritt im Jahre 2001 damals mit einem Ereignis, das zu einem wesentlich späteren Zeitpunkt stattfand, weshalb der fehlende Realitätsbezug der Verfolgungsvorbringen offensichtlich ist. Des Weiteren dürfte es nicht zu den Gepflogenheiten von Erpressern gehören, den Kindern von Erpressungsopfern Schusswaffen in die Hand zu geben, würden sie sich bei dieser Gelegenheit doch selbst einer Gefahr aussetzen, falls die Waffen geladen wären. Mit ungeladenen Waffen hingegen wäre der Beschwerdeführer wohl kaum zu quälen oder unter Druck zu setzen gewesen. Schliesslich erscheinen auch die Vorbringen wirklichkeitsfremd, die pakistanische Polizei habe es nicht zustande gebracht, seiner Mutter den Grund ihres Besuchs auf verständliche Art und Weise zu vermitteln oder Mitglieder der Polizei hätten die Polizei bestochen, um ihm Schwierigkeiten mit der Polizei zu bereiten (A12/12 F102/3 S. 11). Da sich die Vorbringen des Beschwerdeführers als unglaubhaft erwiesen haben, sind die aus der angeblichen Verfolgungssituation des Beschwerdeführers abgeleiteten Vorbringen der Beschwerdeführerin gleichermassen als unglaubhaft zu werten.</w:t>
      </w:r>
    </w:p>
    <w:p>
      <w:r>
        <w:rPr>
          <w:b/>
        </w:rPr>
        <w:t>E. 4.4</w:t>
      </w:r>
    </w:p>
    <w:p>
      <w:r>
        <w:t>Bei dieser Sachlage erübrigt es sich, auf weitere Vorbringen und Beweismittel näher einzugehen. Zusammenfassend ist festzustellen, dass bei den Beschwerdeführenden keine Verfolgung im Sinne von Art. 3 AsylG vorliegt und sie nicht als Flüchtlinge anerkannt werden können. Mangels erfüllter Flüchtlingseigenschaft ist ihnen zu Recht das nachgesuchte Asyl nicht gewährt worden.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Was die Behandlungsbedürftigkeit der Kolloidzyste im Schädel der Beschwerdeführerin anbelangt, so ist diese unbestritten. Indessen konnte sich die Beschwerdeführerin, wie sich aus dem Ambulatoriumsbericht vom 1. Februar 2011 ergibt, in Ausübung eines höchstpersönlichen Rechts nicht zur Operation in der Schweiz entschliessen. Da es auch im Heimatstaat der Beschwerdeführerin Spitäler gibt, die eine adäquate Versorgung ermöglichen, besteht für sie die Möglichkeit, sich nach einem Meinungswechsel auch in Pakistan therapieren zu lassen.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In Pakistan herrscht zur Zeit weder Krieg, Bürgerkrieg noch liegt eine Situation allgemeiner Gewalt vor. Zu prüfen ist indessen, ob die gesundheitlichen Probleme der Beschwerdeführerin allenfalls individuelle Gründe darstellen, welche gegen die Zumutbarkeit des Wegweisungsvollzugs sprechen.</w:t>
      </w:r>
    </w:p>
    <w:p>
      <w:r>
        <w:rPr>
          <w:b/>
        </w:rPr>
        <w:t>E. 6.4.2</w:t>
      </w:r>
    </w:p>
    <w:p>
      <w:r>
        <w:t>Es sind auch keine individuellen Gründe ersichtlich, welche die Rückkehr der Beschwerdeführenden als unzumutbar erscheinen lassen würden. In den Akten finden sich keine konkreten Anhaltspunkte dafür, dass sie aus individuellen Gründen wirtschaftlicher oder sozialer Natur in eine existenzbedrohende Situation geraten würden. Die Beschwerdeführenden stammen beide aus N._______ und sind mit den dortigen Verhältnissen bestens vertraut. In Gestalt der Mutter des Beschwerdeführers, die im Übrigen immer habe sparen können (A1/9 Ziff. 16 S. 7), verfügen sie wenigstens über ein rudimentäres soziales Netz. Zudem betätigte sich der Beschwerdeführer vor seiner Ausreise aus dem Heimatstaat als Kaufmann beziehungsweise als selbständigerwerbender Lebensmittelhändler in N._______ und verdiente damit den Lebensunterhalt der Familie inklusive Asylreise nach Europa. Da sich das Grundprinzip kaufmännischer Erwerbstätigkeit, Einkauf zum tiefen und Verkauf zum höheren Preis, in der Zwischenzeit nicht geändert hat, ist davon auszugehen, er werde auch in Zukunft den Lebensunterhalt für seine Familie als Händler verdienen können, zumal es angesichts der Unglaubhaftigkeit der Verfolgungsvorbringen keinen Anlass gibt, die Behauptung, die Beschwerdeführenden hätten mit der Ausreise aus dem Heimatstaat ihr ganzes Hab und Gut verloren, zum Nennwert zu nehmen. Insgesamt kann somit davon ausgegangen werden, dass sich die Beschwerdeführenden in ihrem Heimatstaat - anders als in der Schweiz - werden integrieren können; auf diese Weise wird dem Kindeswohl im Übrigen am besten Sorge getragen. Was das unbestrittene medizinische Problem der Beschwerdeführerin anbelangt, so hat diese die Frage der Zumutbarkeit fürs Erste selbst beantwortet, indem sie auf eine operative Behandlung in der Schweiz verzichtet hat. Sollte sie ihre Meinung in Bezug auf die Wünschbarkeit einer Operation ändern, hat sie immer noch die Möglichkeit, medizinische Rückkehrhilfe zu beantragen und sich im Heimatstaat operieren zu lassen. Dementsprechend lässt die gegebene Sachlage nicht auf eine konkrete Gefährdung aufgrund einer medizinischen Notlage schliessen, welche im Heimatland bei allfälligen weiteren Beschwerden nicht behandelbar wäre. Nach dem Gesagten erweist sich der Vollzug der Wegweisung auch als zumutbar.</w:t>
      </w:r>
    </w:p>
    <w:p>
      <w:r>
        <w:rPr>
          <w:b/>
        </w:rPr>
        <w:t>E. 6.5</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grundsätzlich den Beschwerdeführenden aufzuerlegen (Art. 63 Abs. 1 VwVG). Indessen erwies sich die Beschwerde nicht als von vornherein aussichtslos. Zudem ist aufgrund der Akten von der Bedürftigkeit der Beschwerdeführenden auszugehen, weshalb das Gesuch um Gewährung der unentgeltlichen Prozessführung gemäss Art. 65 Abs. 1 VwVG gutzuheissen ist und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