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D-1758/2022 vom 7. März 2024</w:t>
      </w:r>
    </w:p>
    <w:p>
      <w:r>
        <w:t>Bundesverwaltungsgericht, 2024-03-07, IT</w:t>
      </w:r>
    </w:p>
    <w:p>
      <w:r>
        <w:rPr>
          <w:b/>
        </w:rPr>
        <w:t xml:space="preserve">Quelle: </w:t>
      </w:r>
      <w:r>
        <w:t>https://mcp.opencaselaw.ch/entscheid/bvger_D-1758_2022</w:t>
      </w:r>
    </w:p>
    <w:p>
      <w:r>
        <w:t>FR: TAF D-1758/2022 du 7 mars 2024</w:t>
      </w:r>
    </w:p>
    <w:p>
      <w:r>
        <w:t>IT: TAF D-1758/2022 del 7 marzo 2024</w:t>
      </w:r>
    </w:p>
    <w:p>
      <w:pPr>
        <w:pStyle w:val="Heading2"/>
      </w:pPr>
      <w:r>
        <w:t>Regeste</w:t>
      </w:r>
    </w:p>
    <w:p>
      <w:r>
        <w:t>Asilo (non entrata nel merito) ed allontanamento (paese terzo sicuro - art. 31a cpv. 1 lett. a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ricorso, per quanto non sia divenuto privo di oggetto, è respinto.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Questa sentenza è comunicata ai ricorrenti, alla SEM e all'autorità cantonale competente. La giudice unica: La cancelliera: Chiara Piras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