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D-1756/2010 vom 29. März 2010</w:t>
      </w:r>
    </w:p>
    <w:p>
      <w:r>
        <w:t>Bundesverwaltungsgericht, 2010-03-29, DE</w:t>
      </w:r>
    </w:p>
    <w:p>
      <w:r>
        <w:rPr>
          <w:b/>
        </w:rPr>
        <w:t xml:space="preserve">Quelle: </w:t>
      </w:r>
      <w:r>
        <w:t>https://mcp.opencaselaw.ch/entscheid/bvger_D-1756_2010</w:t>
      </w:r>
    </w:p>
    <w:p>
      <w:r>
        <w:t>FR: TAF D-1756/2010 du 29 mars 2010</w:t>
      </w:r>
    </w:p>
    <w:p>
      <w:r>
        <w:t>IT: TAF D-1756/2010 del 29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 und die Verfügung des BFM vom 11. März 2010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Dem Beschwerdeführer wird eine Parteientschädigung von Fr. 500.- zugesprochen, die ihm durch das BFM zu entrichten ist.</w:t>
      </w:r>
    </w:p>
    <w:p>
      <w:r>
        <w:rPr>
          <w:b/>
        </w:rPr>
        <w:t>E. 5</w:t>
      </w:r>
    </w:p>
    <w:p>
      <w:r>
        <w:t>Dieses Urteil geht an: die Rechtsvertreterin des Beschwerdeführers (Einschreiben) das BFM, Abteilung Aufenthalt, mit den Akten Ref.-Nr. [...] (per Kurier; in Kopie) [die zuständige kantonale Behörde](in Kopie)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