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D-1754/2022 vom 22. April 2022</w:t>
      </w:r>
    </w:p>
    <w:p>
      <w:r>
        <w:t>Bundesverwaltungsgericht, 2022-04-22, DE</w:t>
      </w:r>
    </w:p>
    <w:p>
      <w:r>
        <w:rPr>
          <w:b/>
        </w:rPr>
        <w:t xml:space="preserve">Quelle: </w:t>
      </w:r>
      <w:r>
        <w:t>https://mcp.opencaselaw.ch/entscheid/bvger_D-1754_2022</w:t>
      </w:r>
    </w:p>
    <w:p>
      <w:r>
        <w:t>FR: TAF D-1754/2022 du 22 avril 2022</w:t>
      </w:r>
    </w:p>
    <w:p>
      <w:r>
        <w:t>IT: TAF D-1754/2022 del 22 aprile 2022</w:t>
      </w:r>
    </w:p>
    <w:p>
      <w:pPr>
        <w:pStyle w:val="Heading2"/>
      </w:pPr>
      <w:r>
        <w:t>Regeste</w:t>
      </w:r>
    </w:p>
    <w:p>
      <w:r>
        <w:t>Nichteintreten auf Asylgesuch und Wegweisung (Dublin-Verfahren)</w:t>
      </w:r>
    </w:p>
    <w:p>
      <w:pPr>
        <w:pStyle w:val="Heading2"/>
      </w:pPr>
      <w:r>
        <w:t>Erwägungen</w:t>
      </w:r>
    </w:p>
    <w:p>
      <w:r>
        <w:rPr>
          <w:b/>
        </w:rPr>
        <w:t>E. 13</w:t>
      </w:r>
    </w:p>
    <w:p>
      <w:r>
        <w:t>April 2022 angeordnete Vollzugsstopp dahinfällt, dass bei diesem Ausgang des Verfahrens keine Verfahrenskosten zu erhe- ben sind (Art. 63 Abs. 1 und 2 VwVG),</w:t>
      </w:r>
    </w:p>
    <w:p>
      <w:r>
        <w:t>D-1754/2022 Seite 12 dass der Antrag auf Verzicht auf die Erhebung eines Kostenvorschusses gegenstandslos wird, dass dem vertretenen Beschwerdeführer keine Parteientschädigung aus- zurichten ist, da es sich vorliegend um eine zugewiesene unentgeltliche Rechtsvertretung im Sinne von Art. 102h AsylG handelt, deren Leistungen vom Bund nach Massgabe von Art. 102k AsylG entschädigt werden (vgl. auch Art. 111ater AsylG). (Dispositiv nächste Seite)</w:t>
      </w:r>
    </w:p>
    <w:p>
      <w:r>
        <w:t>D-1754/2022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