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D-1754/2015 vom 26. Mai 2015</w:t>
      </w:r>
    </w:p>
    <w:p>
      <w:r>
        <w:t>Bundesverwaltungsgericht, 2015-05-26, DE</w:t>
      </w:r>
    </w:p>
    <w:p>
      <w:r>
        <w:rPr>
          <w:b/>
        </w:rPr>
        <w:t xml:space="preserve">Quelle: </w:t>
      </w:r>
      <w:r>
        <w:t>https://mcp.opencaselaw.ch/entscheid/bvger_D-1754_2015</w:t>
      </w:r>
    </w:p>
    <w:p>
      <w:r>
        <w:t>FR: TAF D-1754/2015 du 26 mai 2015</w:t>
      </w:r>
    </w:p>
    <w:p>
      <w:r>
        <w:t>IT: TAF D-1754/2015 del 26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 unter Vorbehalt der nachfolgenden Erwägung -einzutreten.</w:t>
      </w:r>
    </w:p>
    <w:p>
      <w:r>
        <w:rPr>
          <w:b/>
        </w:rPr>
        <w:t>E. 1.3</w:t>
      </w:r>
    </w:p>
    <w:p>
      <w:r>
        <w:t>Der Beschwerde kommt von Gesetzes wegen aufschiebende Wirkung zu (vgl. Art. 42 AsylG) und die angefochtene Verfügung enthält keine diesbezüglich anderslautenden Anordnungen. Auf das Eventualbegehren um Wiederherstellung der aufschiebenden Wirkung ist mangels Rechtsschutzinteresses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Mit der Vorinstanz ist festzuhalten, dass die Vorbringen des Beschwerdeführers den Anforderungen an die Flüchtlingseigenschaft gemäss Art. 3 AsylG nicht standhalten. Zur Vermeidung von Wiederholungen kann daher auf die ausführlichen und nicht zu beanstandenden Erwägungen des SEM in der angefochtenen Verfügung verwiesen werden (vgl. auch Bst. B hiervor).</w:t>
      </w:r>
    </w:p>
    <w:p>
      <w:r>
        <w:rPr>
          <w:b/>
        </w:rPr>
        <w:t>E. 5.2</w:t>
      </w:r>
    </w:p>
    <w:p>
      <w:r>
        <w:t>Die Vorbringen in der Rechtsmitteleingabe sind nicht geeignet, eine Änderung der angefochtenen Verfügung zu bewirken. Den vorinstanzlichen Ausführungen wird nichts Substanzielles entgegengesetzt. Der Beschwerdeführer begnügt sich damit, den festgestellten Sachverhalt mit bloss etwas anderen Worten zu wiederholen. Eine Auseinandersetzung mit den Erwägungen des SEM findet nicht statt. Im Sinne einer Ergänzung respektive Vervollständigung gilt in casu insbesondere auch zu berücksichtigen, dass das vom Beschwerdeführer erwähnte Ereignis im (Jahresangabe) (Ermordung der Schwester) nicht in Abrede gestellt wird. Hingegen wird aus dem geschilderten Sachvortrag nicht ersichtlich, inwiefern er eine im asylrechtlichen Kontext bedeutsame Verfolgung im Heimatland zu befürchten hat (Blutfehde nach dem albanischen Gewohnheitsrecht Kanun). In diesem Zusammenhang ist zunächst festzuhalten, dass eine Verfolgung im Sinne allfälliger Racheakte seitens der verfeindeten Familie im Heimatland nicht unter Art. 3 AsylG fällt, da es einer privaten Fehde am Erfordernis der flüchtlingsrechtlich relevanten Verfolgungsmotivation mangelt (vgl. Entscheidungen und Mitteilungen der Schweizerischen Asylrekurskommission [EMARK] 2006 Nr. 25 E. 7 S. 276 f. m.w.H.). Sodann hat der Bundesrat mit Beschluss vom 5. Oktober 1993 Albanien als verfolgungssicheren Staat im Sinne von Art. 6a Abs. 2 Bst. a AsylG bezeichnet und ist auf diese Einschätzung bisher nicht zurückgekommen (Art. 6a Abs. 3 AsylG). Dies stellt eine gesetzliche Regelvermutung dar, dass eine asylrelevante staatliche Verfolgung nicht besteht und Schutz vor nichtstaatlicher Verfolgung gewährleistet ist. Diese Vermutung kann im Einzelfall aufgrund konkreter und substanziierter Hinweise umgestossen werden. Die protokollierten Aussagen des Beschwerdeführers sowie die in der Beschwerdeschrift aufgeführten Gründe vermögen indes weder den Einwand der fehlenden Asylrelevanz zu entkräften noch die erwähnte Regelvermutung umzustossen. Auf Beschwerdestufe wird, ohne neue oder massgebende Erkenntnisse in dieser Angelegenheit zu Tage zu fördern, bloss eine andere Sichtweise als diejenige des SEM vertreten. Diese Schlussfolgerung erfährt nicht zuletzt noch dadurch an Gewicht, dass der Beschwerdeführer der Aufforderung zur Übersetzung der ins Recht gelegten Beweismittel nicht nachgekommen ist (vgl. Bst. D und E hiervor). Angesichts des Umstandes, dass das von ihm erwähnte Ereignis von (Jahresangabe) nicht bestritten wird und er zudem nicht näher darlegt, was er mit den eingereichten Unterlagen zu belegen gedenkt, kann diesen lediglich in Kopie vorliegenden Dokumenten ohnehin keine beweisrechtliche Bedeutung beigemessen werden. Ebenfalls nicht ausser Acht gelassen werden darf im Gesamtkontext der Umstand, dass der Beschwerdeführer im angeblich Schwierigkeiten und Unannehmlichkeiten bereitenden Zeitraum wiederholt zu seinen Geschwistern ins Ausland reiste, ohne die dortigen Behörden vor der im Heimatland befürchteten Blutrache um Schutz nachzusuchen (A 6 S. 5 gemäss Aktenverzeichnis SEM). Aufschlussreich erweist sich schliesslich auch die Aussage des Beschwerdeführers, wonach es nach dem erwähnten Ereignis von 2013 zu keinen Vorfällen mehr gekommen sei (A 10 Fragen 21 und 29 f. S. 4 und 5).</w:t>
      </w:r>
    </w:p>
    <w:p>
      <w:r>
        <w:rPr>
          <w:b/>
        </w:rPr>
        <w:t>E. 5.3</w:t>
      </w:r>
    </w:p>
    <w:p>
      <w:r>
        <w:t>Zusammenfassend ist somit festzustellen, dass die Vorbringen des Beschwerdeführers als nicht asylbeachtlich im Sinne von Art. 3 AsylG zu werten sind. Er kann daher nicht als Flüchtling aner­kannt werden. Die Vorinstanz hat das Asylgesuch des Beschwerdeführers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Im Zusammenhang mit der vom Beschwerdeführer geltend gemachten Blutrache respektive der Befürchtung, im Falle einer Rückkehr nach Albanien entweder Opfer von Racheakten seitens der verfeindeten Familie zu werden oder im Sinne der Familienehre allenfalls selbst gezwungen zu werden, jemanden zu töten, ergeben sich indes weder aus seinen Aussagen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(vgl. auch Urteil des Bundesverwaltungsgerichts E-7121/2013 E. 7.4 vom 27. Januar 2014).</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Die allgemeine Situation in Albanien steht einem Wegweisungsvollzug nicht entgegen. Auch sind keine individuellen Gründe ersichtlich, die unter dem Zumutbarkeitsaspekt gegen eine allfällige Rückkehr des Beschwerdeführers ins Heimatland sprechen würden. Der junge, ledige und - soweit aktenkundig - gesunde Beschwerdeführer verfügt über eine solide Schulbildung (Anzahl Jahre/Schultyp). Er lebte, abgesehen von wenigen Monaten, stets bei seinen Eltern in deren eigenen Haus in D._______. Ferner geht aus den Akten hervor, dass er in Albanien auf ein relativ umfangreiches verwandtschaftliches Beziehungsnetz zurückgreifen kann, was die Reintegration erleichtert. Ebenfalls ist nicht auszuschliessen, dass die im Ausland mit geregelten Aufenthalt lebenden Geschwister im Falle von Anfangsschwierigkeiten dem Beschwerdeführer unterstützend zur Seite stehen werden. Sodann stellt sich die Frage einer zumutbaren innerstaatlichen Aufenthaltsalternative nicht, da den Akten keine konkreten und schlüssigen Anhaltspunkte zu entnehmen sind, die auf allfällig aus der geltend gemachten Blutrache resultierende Benachteiligungen hindeuten würden. In Wür­digung all dieser begünstigenden Faktoren erweist sich der Vollzug der Wegweisung demnach als zumutbar.</w:t>
      </w:r>
    </w:p>
    <w:p>
      <w:r>
        <w:rPr>
          <w:b/>
        </w:rPr>
        <w:t>E. 7.4</w:t>
      </w:r>
    </w:p>
    <w:p>
      <w:r>
        <w:t>Der Beschwerdeführer ist im Besitz eines albanischen Reisepasses und einer Identitätskarte, welche gemäss Art. 10 AsylG zu Handen des SEM sichergestellt wurden (vgl. A 5 S. 1 und A 6 S. 5). Der Vollzug der Wegweisung ist demnach auch als möglich zu bezeichnen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Mit dem vorliegenden letztinstanzlichen Endentscheid ist das Ge­such des Beschwerdeführers, die Vollzugsbehörden seien anzuweisen, die Kontaktaufnahme mit den Heimat- oder Herkunftsbehörden sowie jede Weitergabe von Daten an dieselben zu unterlassen, gegenstandslos geworden. Den Akten sind keine Anhaltspunkte zu entnehmen, dass die Vorins­tanz bereits Daten weitergegeben hätte, weshalb sich der diesbezügliche Antrag ebenfalls als gegenstandslos erweist.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(Art. 49 VwVG). Die Beschwerde ist, soweit darauf einzutreten ist, abzuweisen.</w:t>
      </w:r>
    </w:p>
    <w:p>
      <w:r>
        <w:rPr>
          <w:b/>
        </w:rPr>
        <w:t>E. 10.1</w:t>
      </w:r>
    </w:p>
    <w:p>
      <w:r>
        <w:t>Mit dem vorliegenden Urteil ist auch das Ge­such des Beschwerdeführers um Verzicht auf die Erhebung eines Kostenvorschusses gegenstandslos geworden.</w:t>
      </w:r>
    </w:p>
    <w:p>
      <w:r>
        <w:rPr>
          <w:b/>
        </w:rPr>
        <w:t>E. 10.2</w:t>
      </w:r>
    </w:p>
    <w:p>
      <w:r>
        <w:t>Mit Zwischenverfügung vom 27. März 2015 wurde der Entscheid über die Gesuche um Gewährung der unentgeltlichen Rechtspflege im Sinne von Art. 65 Abs. 1 VwVG in Verbindung mit Art. 110a Abs. 1 AsylG auf einen späteren Zeitpunkt verwiesen. Ungeachtet der nicht ausgewiesenen Bedürftigkeit des Beschwerdeführers müssen die Vorbringen in der Beschwerde - wie in den Erwägungen dargelegt - jedoch als aussichtslos qualifiziert werden. Mithin fehlt es an den kumulativ zu erfüllenden Voraussetzungen (bedürftig/nicht aussichtslos) der nämlichen gesetzlichen Bestimmung. Das Gesuch um Gewährung der unentgeltlichen Rechtspflege im Sinne von Art. 65 Abs. 1 VwVG ist daher abzuweisen. Mangels Erfüllens der diesbezüglichen Voraussetzungen ist das Gesuch um amtliche Verbeiständung (Art. 110a Abs. 1 AsylG) ebenfalls abzuweisen.</w:t>
      </w:r>
    </w:p>
    <w:p>
      <w:r>
        <w:rPr>
          <w:b/>
        </w:rPr>
        <w:t>E. 10.3</w:t>
      </w:r>
    </w:p>
    <w:p>
      <w:r>
        <w:t>Die Kosten des Verfahrens von Fr. 600.- (Art. 1-3 des Reglements vom 21. Februar 2008 über die Kosten und Entschädigungen vor dem Bundesverwaltungsgericht [VGKE, SR 173.320.2]) sind demnach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