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D-1748/2008 vom 4. Juli 2011</w:t>
      </w:r>
    </w:p>
    <w:p>
      <w:r>
        <w:t>Bundesverwaltungsgericht, 2011-07-04, FR</w:t>
      </w:r>
    </w:p>
    <w:p>
      <w:r>
        <w:rPr>
          <w:b/>
        </w:rPr>
        <w:t xml:space="preserve">Quelle: </w:t>
      </w:r>
      <w:r>
        <w:t>https://mcp.opencaselaw.ch/entscheid/bvger_D-1748_2008</w:t>
      </w:r>
    </w:p>
    <w:p>
      <w:r>
        <w:t>FR: TAF D-1748/2008 du 4 juillet 2011</w:t>
      </w:r>
    </w:p>
    <w:p>
      <w:r>
        <w:t>IT: TAF D-1748/2008 del 4 luglio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105 en relation avec l'art. 6a al. 1 LAsi, art. 33 let. d LTAF et art. 83 let. d ch. 1 de la loi du 17 juin 2005 sur le Tribunal fédéral [LTF, RS 173.110] ; ATAF 2007/7 consid. 1.1 p. 57).</w:t>
      </w:r>
    </w:p>
    <w:p>
      <w:r>
        <w:rPr>
          <w:b/>
        </w:rPr>
        <w:t>E. 1.2</w:t>
      </w:r>
    </w:p>
    <w:p>
      <w:r>
        <w:t>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1.3</w:t>
      </w:r>
    </w:p>
    <w:p>
      <w:r>
        <w:t>L'intéressé a qualité pour recourir (art. 48 al. 1 PA) et son mandataire est dûment légitimé. Son recours, interjeté dans la forme (art. 52 PA) et le délai (art. 108 al. 1 LAsi)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l'occurrence, le recourant n'a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3.1</w:t>
      </w:r>
    </w:p>
    <w:p>
      <w:r>
        <w:t>Partant, le recours, en tant qu'il porte sur la reconnaissance de la qualité de réfugié et l'octroi de l'asile, doit être rejeté.</w:t>
      </w:r>
    </w:p>
    <w:p>
      <w:r>
        <w:rPr>
          <w:b/>
        </w:rPr>
        <w:t>E. 3.1.1</w:t>
      </w:r>
    </w:p>
    <w:p>
      <w:r>
        <w:t>Il est vrai qu'au stade du recours et donc tardivement en procédure (sur les allégués tardifs qui doivent être écartés en l'absence de motifs justifiant la tardiveté, cf. arrêt du Tribunal E-1766/2009 du 3 avril 2009 ; cf. aussi JICRA 1998 n° 4 consid. 5a p. 25), il a mis les préjudices subis en lien avec son appartenance à un groupe social déterminé. A ce sujet toutefois, force est de constater que son appartenance effective au dit clan ou au dit sous-clan ne résulte que de ses propres affirmations nullement étayées. L'intéressé n'a en effet produit aucun document d'identité, de sorte que même son identité réelle n'est pas définitivement établie.</w:t>
      </w:r>
    </w:p>
    <w:p>
      <w:r>
        <w:rPr>
          <w:b/>
        </w:rPr>
        <w:t>E. 3.1.2</w:t>
      </w:r>
    </w:p>
    <w:p>
      <w:r>
        <w:t>En tout état de cause, son appartenance à un clan ou à un sous-clan défavorisé ou mineur peut être mise en doute au vu du récit présenté. En effet, l'intéressé a précisé que sa famille possédait de nombreuses terres, et que son père avait eu les moyens de payer les services de protection d'un homme appartenant au clan majoritaire qui aurait fait pression sur lui et sa famille (cf. pv aud. du 22 janvier 2008, p. 4 ; pv aud. du 31 janvier 2008, p. 3, ad Q19 et Q25). Dès lors, et contrairement à ce qu'il a affirmé lors de ses auditions, l'intéressé n'apparaît pas provenir d'un clan ou d'un sous-clan défavorisé sans aucun allié, et dont aucun membre ne serait riche (cf. notamment pv aud. du 31 janvier 2008, p. 2, ad Q3 et Q8). Au contraire, le fait de posséder des biens, en l'occurrence nombreux, et de pouvoir faire appel aux services, payants, d'un homme à même d'assurer une protection personnelle est plutôt un indice de l'appartenance à une couche sociale favorisée. Dans ces conditions, on ne saurait accorder une valeur décisive dans le cas concret aux moyens de preuve de portée générale sur les clans et les sous-clans en Somalie versés en cause en annexe au mémoire de recours.</w:t>
      </w:r>
    </w:p>
    <w:p>
      <w:r>
        <w:rPr>
          <w:b/>
        </w:rPr>
        <w:t>E. 3.2</w:t>
      </w:r>
    </w:p>
    <w:p>
      <w:r>
        <w:t>Indépendamment de ce qui précède, et même si cela n'est pas absolument déterminant en la cause, on ne peut s'empêcher de relever des divergences manifestes dans le récit présenté. Ainsi, l'intéressé a successivement déclaré qu'il avait été relâché par l'un de ses ravisseurs, après avoir signé un document par lequel il leur cédait la propriété des biens de sa famille (cf. pv aud. du 22 janvier 2008, p. 5), puis qu'il était parvenu à s'échapper grâce à l'aide de l'un de ses ravisseurs, qui aurait été un de ses amis d'enfance, avant d'avoir dû signer le document cédant la propriété des biens familiaux (cf. pv aud. du 31 janvier 2008, p. 5, ad Q43 à Q49). De même, il a, tour à tour, déclaré que ses ravisseurs lui avaient demandé de récupérer une machine agricole que son père avait laissé chez l'imam auprès duquel il avait trouvé refuge (pv aud. du 22 janvier 2008, p. 5), avant d'indiquer que c'est l'imam lui-même qui aurait décidé de vendre cette machine agricole pour financer le voyage du recourant vers l'Europe (pv aud. du 31 janvier 2008, p. 6, ad Q59).</w:t>
      </w:r>
    </w:p>
    <w:p>
      <w:r>
        <w:rPr>
          <w:b/>
        </w:rPr>
        <w:t>E. 3.3</w:t>
      </w:r>
    </w:p>
    <w:p>
      <w:r>
        <w:t>En outre, les circonstances du voyage en Suisse sont décrites de manière stéréotypée et vague par l'intéressé (cf. notamment pv aud. du 22 janvier 2008, p. 5s. ; pv aud. du 31 janvier 2008, p. 6, ad Q59). On peut dès lors penser que les circonstances réelles de sa venue en Suisse ne sont pas compatibles avec des motifs déterminants en matière d'asile.</w:t>
      </w:r>
    </w:p>
    <w:p>
      <w:r>
        <w:rPr>
          <w:b/>
        </w:rPr>
        <w:t>E. 3.4</w:t>
      </w:r>
    </w:p>
    <w:p>
      <w:r>
        <w:t>Enfin et même si cela n'est pas directement invoqué par le recourant, il sied de relever qu'une situation d'insécurité générale régnant dans un pays - et qui en l'occurrence a déjà conduit l'ODM à prononcer une admission provisoire en faveur de l'intéressé en raison du caractère non raisonnablement exigible de l'exécution du renvoi - n'est pas pertinente en matière d'asile au sens de l'art. 3 LAsi. En effet, le fait de provenir d'une région où sévit une guerre ou une guerre civile, soit le fait d'être touché par les conséquences d'un conflit, au même titre que tous les habitants de la région affectée par ce conflit, ne suffit pas, en soi, pour être reconnu comme réfugié et ce malgré le risque élevé d'y subir de graves préjudices. Des griefs consécutifs à des combats lors d'un conflit armé ne sont pas, à eux seuls, déterminants (cf. arrêt du Tribunal D-4087/2006 du 29 avril 2010 consid. 4.3.3 et les réf. cit.).</w:t>
      </w:r>
    </w:p>
    <w:p>
      <w:r>
        <w:rPr>
          <w:b/>
        </w:rPr>
        <w:t>E. 4.1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du 11 août 1999 sur l'asile relative à la procédure (OA 1, RS 142.311), lorsque le requérant d'asile est titulaire d'une autorisation de séjour ou d'établissement valable, ou lorsqu'il fait l'objet d'une décision d'extradition ou d'une décision de renvoi conformément à l'art. 121 al. 2 de la Constitution fédérale de la Confédération suisse du 18 avril 1999 (Cst., RS 101).</w:t>
      </w:r>
    </w:p>
    <w:p>
      <w:r>
        <w:rPr>
          <w:b/>
        </w:rPr>
        <w:t>E. 4.2</w:t>
      </w:r>
    </w:p>
    <w:p>
      <w:r>
        <w:t>Aucune exception à la règle générale du renvoi n'étant en l'occurrence réalisée, le Tribunal est tenu, de par la loi, de confirmer cette mesure (cf. dans ce sens JICRA 2001 n° 21 p. 168ss).</w:t>
      </w:r>
    </w:p>
    <w:p>
      <w:r>
        <w:rPr>
          <w:b/>
        </w:rPr>
        <w:t>E. 5.1</w:t>
      </w:r>
    </w:p>
    <w:p>
      <w:r>
        <w:t>En matière d'exécution du renvoi, les conditions posées par l'art. 83 al. 2 à 4 de la loi fédérale du 16 décembre 2005 sur les étrangers (LEtr, RS 142.20), empêchant précisément celle-ci (illicéité, inexigibilité ou impossibilité), sont de nature alternative. Il suffit que l'une d'entre elles soit réalisée pour que le renvoi soit inexécutable (cf. notamment arrêt du Tribunal D-4508/2010 du 9 août 2010 [p. 5], D-4923/2010 du 16 juillet 2010 [p. 4] et D-3036/2007 consid. 7.1.2 [p. 8] du 24 juin 2010).</w:t>
      </w:r>
    </w:p>
    <w:p>
      <w:r>
        <w:rPr>
          <w:b/>
        </w:rPr>
        <w:t>E. 5.2</w:t>
      </w:r>
    </w:p>
    <w:p>
      <w:r>
        <w:t>L'ODM ayant estimé dans sa décision du 2 octobre 2009 que l'exécution du renvoi n'était pas raisonnablement exigible et que l'intéressé devait être mis au bénéfice d'une admission provisoire, le Tribunal prend acte de cette mesure de substitution ainsi ordonnée.</w:t>
      </w:r>
    </w:p>
    <w:p>
      <w:r>
        <w:rPr>
          <w:b/>
        </w:rPr>
        <w:t>E. 6</w:t>
      </w:r>
    </w:p>
    <w:p>
      <w:r>
        <w:t>L'intéressé ayant succombé sur la question de la qualité de réfugié et de l'asile et sur le principe du renvoi, il y aurait lieu de mettre des frais de procédure à sa charge (art. 63 al. 1 PA et art. 2 et 3 let. b du règlement du 21 février 2008 concernant les frais, dépens et indemnités fixés par le Tribunal administratif fédéral [FITAF, RS 173.320.2]). Il se justifie toutefois d'y renoncer, la demande d'assistance judiciaire partielle du recourant ayant été admise par décision incidente du 27 mars 2008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