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D-1747/2012 vom 2. Mai 2012</w:t>
      </w:r>
    </w:p>
    <w:p>
      <w:r>
        <w:t>Bundesverwaltungsgericht, 2012-05-02, DE</w:t>
      </w:r>
    </w:p>
    <w:p>
      <w:r>
        <w:rPr>
          <w:b/>
        </w:rPr>
        <w:t xml:space="preserve">Quelle: </w:t>
      </w:r>
      <w:r>
        <w:t>https://mcp.opencaselaw.ch/entscheid/bvger_D-1747_2012</w:t>
      </w:r>
    </w:p>
    <w:p>
      <w:r>
        <w:t>FR: TAF D-1747/2012 du 2 mai 2012</w:t>
      </w:r>
    </w:p>
    <w:p>
      <w:r>
        <w:t>IT: TAF D-1747/2012 del 2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 unter Vorbehalt der nachfolgenden Erwägung - einzutreten.</w:t>
      </w:r>
    </w:p>
    <w:p>
      <w:r>
        <w:rPr>
          <w:b/>
        </w:rPr>
        <w:t>E. 1.4</w:t>
      </w:r>
    </w:p>
    <w:p>
      <w:r>
        <w:t>Der Beschwerde kommt von Gesetzes wegen aufschiebende Wirkung zu (Art. 55 Abs. 1 VwVG), und das BFM hat in der angefochtenen Verfügung einer allfälligen Beschwerde die aufschiebende Wirkung nicht entzogen (vgl. Art. 55 Abs. 2 VwVG). Demzufolge ist auf das Begehren, es sei festzustellen, dass die Beschwerde aufschiebende Wirkung habe, mangels Rechtsschutzinteresses nicht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ist darauf hinzuweisen, dass der Beschwerdeführer den Wortlaut der Protokolle mit seiner Unterschrift bestätigt hat und sich deshalb seine Aussagen entgegenhalten lassen muss, zumal er die übersetzenden Personen bei beiden Befragungen gut verstanden haben will (vgl. Akten BFM A 3/9 S. 2, 7; A 8/16 S. 1).</w:t>
      </w:r>
    </w:p>
    <w:p>
      <w:r>
        <w:rPr>
          <w:b/>
        </w:rPr>
        <w:t>E. 5.2</w:t>
      </w:r>
    </w:p>
    <w:p>
      <w:r>
        <w:t>Nach Prüfung der Akten durch das Gericht ist - in Übereinstimmung mit der Vorinstanz - festzustellen, dass die Asylvorbringen des Beschwerdeführers den Anforderungen an die Glaubhaftigkeit gemäss Art. 7 AsylG nicht standzuhalten vermögen beziehungsweise nicht asylrelevant sind, weshalb diesbezüglich vorab auf die ausführlichen und zutreffenden vorinstanzlichen Erwägungen zu verweisen ist (vgl. Ziffer I, Bst. C. vorstehend). Die Vorbringen in der Rechtsmittelschrift sind nicht geeignet, eine Änderung der vorinstanzlichen Verfügung zu bewirken. Der Argumentation des BFM werden keine stichhaltigen und substanziierten Gründe entgegengesetzt. Insbesondere vermögen - soweit ein sachlicher Zusammenhang überhaupt ersichtlich wird - die eingereichten Bestätigungsschreiben die Vorbringen des Beschwerdeführers bezüglich "Grease-Teufel" nicht glaubhaft zu machen, zumal auch keine Gewähr für die Echtheit dieser Schreiben besteht. Soweit in der Rechtsmittelschrift zudem geltend gemacht wird, es sei wahrscheinlich, dass die sri-lankische Armee den Beschwerdeführer als ehemaliges LTTE-Mitglied verdächtige, da er im Jahre 2008 LTTE-Leute an "seiner" Tankstelle gratis habe tanken lassen, ist festzuhalten, dass dieses Vorbringen als nachgeschoben und damit unglaubhaft zu beurteilen ist, da er anlässlich der protokollierten Befragungen eine derartige Verfolgungsgefahr nicht vorgebracht hat. Der Umstand, dass er sich seit mehr als einem halben Jahr in der Schweiz aufhält und hier ein Asylgesuch eingereicht hat, vermag ebenfalls nicht zur Annahme einer begründeten Furcht vor zukünftiger Verfolgung zu führen, da keine Anhaltspunkte dafür bestehen, dass er sich im nahen Umfeld der LTTE bewegt. Entgegen der Behauptung in der Rechtsmittelschrift gehört der Beschwerdeführer somit keiner der im zur Publikation vorgesehenen Urteil des Bundesverwaltungsgerichts BVGE E-6220/2006 vom 27. Oktober 2011 definierten Risikogruppe an, weshalb er in Sri Lanka keine asylrelevante Verfolgung zu befürchten hat.</w:t>
      </w:r>
    </w:p>
    <w:p>
      <w:r>
        <w:rPr>
          <w:b/>
        </w:rPr>
        <w:t>E. 5.3</w:t>
      </w:r>
    </w:p>
    <w:p>
      <w:r>
        <w:t>Zusammenfassend ist daher festzuhalten, dass es dem Beschwerdeführer nicht gelungen ist, nachzuweisen oder zumindest glaubhaft zu machen, dass er in seiner Heimat ernsthafte Nachteile gemäss Art. 3 AsylG erlitten hat oder solche bei der Ausreise zu befürchten hatte oder im Falle einer Rückkehr nach Sri Lanka befürchten müsste. Der Beschwerdeführer vermag mit seinen Beschwerdevorbringen und den eingereichten Beweismitteln zu keiner anderen Betrachtungsweise zu führen, weshalb es sich erübrigt, weiter darauf einzugehen. Das BFM hat demnach zu Recht die Flüchtlingseigenschaft des Beschwerdeführers verneint und dessen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(Walter Stöckli, Asyl, in: Uebersax/Rudin/Hugi Yar/Geiser, Ausländerrecht, 2. Aufl., Basel 2009,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SR0.101) darf niemand der Folter oder unmenschlicher oder erniedrigender Strafe oder Behandlung unterworfen werden.</w:t>
      </w:r>
    </w:p>
    <w:p>
      <w:r>
        <w:rPr>
          <w:b/>
        </w:rPr>
        <w:t>E. 7.2.2</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nach den vorstehenden Erwägungen nicht gelungen. Auch die allgemeine Menschenrechtssituation in Sri Lanka lässt den Wegweisungsvollzug zum heutigen Zeitpunkt - entgegen der Behauptung in der Rechtsmittelschrift -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Das Bundesverwaltungsgericht nahm im zur Publikation vorgesehenen Urteil BVGE E-6220/2006 vom 27. Oktober 2011 eine umfassende Analyse der Situation in Sri Lanka vor. Danach hat sich seit dem Ende des bewaffneten Konflikts zwischen der sri-lankischen Armee und den LTTE im Mai 2009 die allgemeine Lage in Sri Lanka erheblich verbessert. Die Situation in der Ostprovinz hat sich weitgehend stabilisiert und normalisiert, so dass der Wegweisungsvollzug in das gesamte Gebiet der Ostprovinz als grundsätzlich zumutbar zu erachten ist (vgl. a.a.O. E. 13.1). Die Lage in der Nordprovinz ist indes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dortige politische Lage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a.a.O. E. 13.2.1).</w:t>
      </w:r>
    </w:p>
    <w:p>
      <w:r>
        <w:rPr>
          <w:b/>
        </w:rPr>
        <w:t>E. 7.3.3</w:t>
      </w:r>
    </w:p>
    <w:p>
      <w:r>
        <w:t>Der junge und - gemäss den Akten - gesunde Beschwerdeführer stammt aus E._______ (Distrikt F._______), wo er bis 1995 und von 2002 bis kurz vor seiner Ausreise aus Sri Lanka wohnte (A 8/16 S. 3). Dort leben nach wie vor seine Eltern sowie zwei jüngere Brüder (A 3/9 S. 4). Es liegen keine Erkenntnisse vor, die zur Annahme führen könnten, dass die Familienangehörigen des Beschwerdeführers sich heute nicht mehr in E._______ aufhalten würden. In Erwägung zu ziehen ist ausserdem, dass der Beschwerdeführer gemäss eigenen Aussagen über eine gute Schulbildung sowie Berufserfahrung als (...), (...) und (...) verfügt. Es erweist sich somit, dass der Beschwerdeführer die vom Bundesverwaltungsgericht in der Lagebeurteilung vom 27. Oktober 2011 bezüglich der Zumutbarkeit des Wegweisungsvollzugs nach Sri Lanka formulierten Kriterien erfüllt. Er wird nach der Rückkehr in sein Heimatland sowohl auf die Unterstützung seiner in E._______ lebenden Familie zählen können und bei seinen Angehörigen eine Unterkunftsmöglichkeit vorfinden, als auch in Zukunft in der Lage sein, sich dank seiner Erfahrungen und beruflichen Kenntnisse wieder wirtschaftlich zu integrieren. Insbesondere genügen blosse soziale und wirtschaftliche Schwierigkeiten, von denen die ansässige Bevölkerung im Allgemeinen betroffen ist, nicht, um eine konkrete Gefährdung im Sinne von Art. 83 Abs. 4 AuG darzustellen (vgl. BVGE 2008/34 E. 11.2.2). In casu liegen keine Anhaltspunkte vor, die darauf schliessen liessen, der Beschwerdeführer sei bei einer Rückkehr nach Sri Lanka einer konkreten Gefährdung im Sinne von Art. 83 Abs. 4 AuG ausgesetzt, weshalb der Vollzug der Wegweisung als zumutbar zu bezeichnen ist.</w:t>
      </w:r>
    </w:p>
    <w:p>
      <w:r>
        <w:rPr>
          <w:b/>
        </w:rPr>
        <w:t>E. 7.4</w:t>
      </w:r>
    </w:p>
    <w:p>
      <w:r>
        <w:t>Schliesslich ist festzustellen, dass der Vollzug der Wegweisung mangels aktenkundiger objektiver Hindernisse auch möglich im Sinne von Art. 83 Abs. 2 AuG ist.</w:t>
      </w:r>
    </w:p>
    <w:p>
      <w:r>
        <w:rPr>
          <w:b/>
        </w:rPr>
        <w:t>E. 7.5</w:t>
      </w:r>
    </w:p>
    <w:p>
      <w:r>
        <w:t>Der Vollzug der Wegweisung steht somit in Übereinstimmung mit den zu beachtenden Bestimmungen und ist zu bestätigen.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9</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13. April 2012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