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D-1746/2009 vom 9. September 2011</w:t>
      </w:r>
    </w:p>
    <w:p>
      <w:r>
        <w:t>Bundesverwaltungsgericht, 2011-09-09, DE</w:t>
      </w:r>
    </w:p>
    <w:p>
      <w:r>
        <w:rPr>
          <w:b/>
        </w:rPr>
        <w:t xml:space="preserve">Quelle: </w:t>
      </w:r>
      <w:r>
        <w:t>https://mcp.opencaselaw.ch/entscheid/bvger_D-1746_2009</w:t>
      </w:r>
    </w:p>
    <w:p>
      <w:r>
        <w:t>FR: TAF D-1746/2009 du 9 septembre 2011</w:t>
      </w:r>
    </w:p>
    <w:p>
      <w:r>
        <w:t>IT: TAF D-1746/2009 del 9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solcher Ausnahmefall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BVGE 2009/29 E. 5.1 S. 376 sowie die Urteile des Bundesverwaltungsgerichts D-3894/2006 vom 25. September 2008 E. 5.2 und D-6103/2006 vom 18. Juli 2008 E. 6.2; vgl. ferner Entscheidungen und Mitteilungen der Schweizerischen Asylrekurskommis­sion [EMARK] 2000 Nr. 16 E. 5a S. 141 f.,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5.1</w:t>
      </w:r>
    </w:p>
    <w:p>
      <w:r>
        <w:t>Zur Begründung ihres ablehnenden Entscheides führte die Vorinstanz im Wesentlichen aus, aufgrund der Angaben des Beschwerdeführers bestehe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sei, zumal er sich zum Zeitpunkt seiner Einreise in die Schweiz bereits seit vier Jahren ausserhalb seines Heimatlandes aufgehalten habe. Zwar habe sich der Beschwerdeführer erwiesenermassen exilpolitisch betätigt, die von ihm eingereichten Beweisunterlagen zeigten aber, dass alleine in der Schweiz innert weniger Monate viele exilpolitische Anlässe stattfänden, von denen oftmals gestellte Gruppenaufnahmen von nicht selten Hunderten von Teilnehmern in einschlägigen Medien publiziert würden. Vor diesem Hintergrund erscheine es unwahrscheinlich, dass die äthiopischen Behörden all diesen - oft nur schlecht erkennbaren - Gesichtern konkrete Namen zuordnen könnten. Im Weiteren seien die Angaben des Beschwerdeführers zu den bei ihm als Folge der Publikation von Artikeln eingegangenen Drohanrufen nicht überzeugend ausgefallen. Er habe weder den Inhalt der Anrufe noch seine eigene Reaktion darauf anschaulich schildern können. Seine Erklärungen zum Vorgehen bei der Redaktion der Publikationen hätten ebenfalls nicht überzeugt. Es bestünden somit Zweifel am tatsächlichen Engagement des Beschwerdeführers. Er falle auch nicht durch ein besonderes exilpolitisches Engagement auf, sei er doch ein normales Mitglied der CUDP/KINJIT und besetze keine bestimmte Funktion. Angesichts seines Profils und aufgrund dieser Erwägungen könne bei einer allfälligen Rückkehr nach Äthiopien nicht auf eine Gefährdung geschlossen werden. Die äthiopischen Behörden könnten sodann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versuchten, sich in Europa und speziell auch in der Schweiz ein dauerhaftes Aufenthaltsrecht zu erwirken, indem sie regimekritischen Aktivitäten nachgingen. Bezeichnenderweise sei der Beschwerdeführer erst nach den für ihn negativen Entscheiden im ersten Asylverfahren politisch aktiv geworden. Auch in dem vom Beschwerdeführer eingereichten Rundschreiben der äthiopischen "Direktion für Angelegenheiten von im Ausland lebenden Äthiopiern" würden die Auslandvertretungen nicht dazu aufgerufen, systematisch gegen die grosse Masse von exilpolitisch aktiven Personen vorzugehen und entsprechende Informationen zu sammeln. Die äthiopischen Behörden hätten nur dann ein Interesse an der Verfolgung und Überwachung einer Person, wenn deren Aktivitäten als konkrete Bedrohung für das politische System wahrgenommen würden. Im Falle des Beschwerdeführers bestünden keine Anhaltspunkte für die Annahme, dass sich der Beschwerdeführer, der vor 2006 nie etwas mit Politik zu tun gehabt habe, alleine durch die Publikation von drei regimekritischen Artikeln besonders exponiert habe. Er gehöre nicht zur Gruppe der langjährigen und prominenten oppositionellen Äthiopier im Ausland, für die sich die äthiopischen Behörden gemäss den erwähnten Dokumenten interessiere. Zusammenfassend sei festzustellen, dass die vorgebrachten subjektiven Nachfluchtgründe den Anforderungen an die Flüchtlingseigenschaft gemäss Art. 3 AsylG nicht standhielten, weshalb der Beschwerdeführer nicht als Flüchtling anerkannt werden könne und das Asylgesuch abzuweisen sei.</w:t>
      </w:r>
    </w:p>
    <w:p>
      <w:r>
        <w:rPr>
          <w:b/>
        </w:rPr>
        <w:t>E. 5.2</w:t>
      </w:r>
    </w:p>
    <w:p>
      <w:r>
        <w:t>In der Beschwerdeschrift wird den vorinstanzlichen Erwägungen zunächst entgegen gehalten, die im zweiten Asylverfahren geltend gemachten Asylgründe seien losgelöst von den im ersten Verfahren vorgebrachten zu würdigen. Die Tatsache, dass der Beschwerdeführer zu einem früheren Zeitpunkt von den äthiopischen Behörden möglicherweise nicht registriert worden sei, müsse nicht bedeuten, dass er aufgrund seiner Aktivitäten im Exil nicht wahrgenommen und entsprechend registriert worden sei. Die Behauptung, wonach politische Aktivitäten von Mitgliedern der CUDP/KINJIT im Ausland vom äthiopischen Regime nicht beobachtet würden, entbehre jeglicher Grundlage. Entgegen der Einschätzung des BFM würden auch Aktivitäten von einfachen Mitgliedern beobachtet und in den Datenbanken des äthiopischen Regimes registriert. Umso mehr stünden Mitglieder wie der Beschwerdeführer, die an Protestkundgebungen als Redner auftreten würden und denen die Parteileitung zugestehe, auf der Website der KINJIT regimekritische Artikel zu veröffentlichen, unter permanenter Beobachtung des äthiopischen Regimes. Der Beschwerdeführer habe zweifelsohne die Aufmerksamkeit der äthiopischen Behörden geweckt. Schon die erhaltenen Drohanrufe verdeutlichten, dass man Kenntnis von den Aktivitäten des Beschwerdeführers habe. In diesem Zusammenhang sei festzuhalten, dass die Vorinstanz völlig überspritzte Anforderungen an die Angaben des Beschwerdeführers stelle, wenn er in der Lage sein sollte, die genaue Anzahl der Anrufe, den Zeitpunkt und den genauen Wortlaut derselben zu nennen. Er habe den ungefähren Inhalt der Gespräche geschildert, weshalb die Behauptung des BFM, er sei nicht in der Lage gewesen, die Telefonate oder seine Reaktion darauf anschaulich zu schildern, tatsachenwidrig sei. Hinsichtlich der Erkennbarkeit der exilpolitischen Aktivisten sei festzuhalten, dass nie behauptet worden sei, die äthiopischen Behörden würden sich bei der Identifikation exilpolitischer Individuen ausschliesslich auf die im Internet publizierten Fotos stützen. Es sei vielmehr gesicherte Erkenntnis und gerichtsnotorisch, dass diese über ein weit verzweigtes Spitzelsystem im Ausland verfügten, das bis in die exilpolitischen Organisationen reiche und auch Unternehmen im Ausland sowie Auslandvertretungen umfasse. Auf diesem Weg könnten etwa Listen der Mitglieder und Teilnehmer beschafft werden, welche in Verbindung mit den erwähnten Fotos und den Informationen der Spitzel durchaus eine Identifikation jedes einzelnen Teilnehmers ermöglichten. Der Beschwerdeführer wirft dem BFM zudem eine Verletzung des Untersuchungsgrundsatzes vor. Bei der Behauptung, viele äthiopische Emigranten versuchten aus vorwiegend wirtschaftlichen Gründen, sich in Europa ein dauerhaftes Aufenthaltsrecht zu erwirken, handle es sich um eine blosse Mutmassung, die auf den konkreten Fall keinerlei Bezug nehme. Auf den Beschwerdeführer treffe nicht zu, dass er seine politischen Aktivitäten aus rein wirtschaftlichen Gründen betreibe, was sich in der Vielzahl seiner Aktivitäten und der exzellenten Qualität seiner Texte manifestiere. Es sei angesichts der Tatsache, dass der Beschwerdeführer seine Texte selbst kreiert habe, schlicht nicht nachvollziehbar, weshalb das Bundesamt sein tatsächliches Engagement in Zweifel ziehe. Fakt sei, dass die Texte unter Namensnennung im Internet veröffentlicht worden seien. Die Theorie der Vorinstanz, wonach die äthiopischen Behörden zwischen politisch und wirtschaftlich motivierten Exilaktivisten unterscheide, verkenne, dass die politische Exilaktivität unabhängig von der Motivation immer eine Schädigung des Ansehens der äthiopischen Regierung im Ausland zur Folge habe. Zudem handle es sich dabei um ein untaugliches Argument.</w:t>
      </w:r>
    </w:p>
    <w:p>
      <w:r>
        <w:rPr>
          <w:b/>
        </w:rPr>
        <w:t>E. 6</w:t>
      </w:r>
    </w:p>
    <w:p>
      <w:r>
        <w:t>Von der Vorinstanz wird nicht bestritten, dass sich der Beschwerdeführer in der Schweiz exilpolitisch betätigt hat. Exilpolitische Aktivitäten können jedoch nur dann im Sinne von subjektiven Nachfluchtgründen zur Flüchtlingseigenschaft führen, wenn zumindest glaubhaft gemacht wird, dass im Falle einer Rückkehr infolge Exilaktivität mit überwiegender Wahrscheinlichkeit mit politischer Verfolgung zu rechnen wäre. Nachfolgend ist demnach zu untersuchen, ob diese Voraussetzung im Fall des Beschwerdeführers erfüllt ist.</w:t>
      </w:r>
    </w:p>
    <w:p>
      <w:r>
        <w:rPr>
          <w:b/>
        </w:rPr>
        <w:t>E. 6.1</w:t>
      </w:r>
    </w:p>
    <w:p>
      <w:r>
        <w:t>Gemäss den Erkenntnissen des Bundesverwaltungsgerichts (vgl. unter anderem Urteil des Bundesverwaltungsgerichts D-7416/2007 vom 27. November 2009 und D-3511/2008 vom 24. Oktober 2008) ist - mit dem Beschwerdeführer -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CUPD/KINIJIT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CUPD/ KINIJIT war, nach wie vor als zu verfolgenden Gegner der Regierung ansehen würden, solange von dieser Person vor ihrer Ausreise aus dem jeweiligen Gastland kein eindeutiges Bekenntnis zur verfassungsmässigen Ordnung Äthiopiens und eine klare Abkehr von der bisherigen Politik der CUPD/KINIJIT vorliegt. Angesichts der 2007 in Äthiopien erfolgten Amnestie von einigen Mitgliedern der CUPD/ KINIJIT und der nicht unerschöpflichen Ressourcen des äthiopischen Nachrichtendienstes mag sich die Frage nach der aktuellen Überwachungsdichte in der Schweiz stellen, welche indessen im vorliegenden Fall offen bleiben kann. Von Bedeutung ist vorliegend die tatsächliche Erkennbarkeit der behaupteten exilpolitischen Tätigkeit, die Individualisierbarkeit des Beschwerdeführers sowie dessen konkrete exilpolitische Tätigkeiten.</w:t>
      </w:r>
    </w:p>
    <w:p>
      <w:r>
        <w:rPr>
          <w:b/>
        </w:rPr>
        <w:t>E. 6.2</w:t>
      </w:r>
    </w:p>
    <w:p>
      <w:r>
        <w:t>Mit der Vorinstanz ist davon auszugehen, dass der Beschwerdeführer seit dem Jahr 2006 Mitglied der KINIJIT/CUDP ist und an mehreren Kundgebungen und Versammlungen teilgenommen hat, wobei er auch organisatorische Aufgaben - etwa die Vorbereitung von Slogans, Information anderer Leute - übernommen hat. Zudem liess er unter seinem Namen im Internet regimekritische Artikel veröffentlichen. Seit Beschwerdeeinreichung machte der Beschwerdeführer keine weiteren Aktivitäten geltend, er reichte diesbezüglich auch keine zusätzlichen Beweismittel ein. Im Sinne einer Vorbemerkung ist dem Beschwerdeführer darin zu widersprechen, dass die beiden Asylverfahren des Beschwerdeführers isoliert zu betrachten seien. Vielmehr hat die Vorinstanz zu Recht darauf hingewiesen, dass der Beschwerdeführer bis zur Einreichung seines zweiten Asylgesuches im April 2007 - und damit rund sechs Jahre nach seiner Ausreise aus dem Heimatstaat (vgl. Akten BFM A 6/4 S. 1) - keine exilpolitische Betätigung geltend machte. Dies ändert zwar nichts an seinen Aktivitäten in der Schweiz, die vorinstanzliche Schlussfolgerung, wonach der Beschwerdeführer davor nicht bereits im Fokus der äthiopischen Behörden stand, trifft jedoch ohne weiteres zu. Zwar überwachen die äthiopischen Behörden zweifelsohne die politi­schen Aktivitäten ihrer Staatsangehörigen im Ausland, jedoch ist davon auszugehen, dass sie sich auf die Erfassung von Personen konzen­trieren, welche über die massentypischen und niedrig profilierten Er­scheinungsformen exilpolitischer Proteste hinaus Funktionen und/ oder Aktivitäten entwickeln, die sie aus der Masse der mit dem Regime Un­zufriedenen herausheben und als ernsthafte und potentiell gefährliche Regimegegner erscheinen lassen. Nach Erkenntnis des Bundesver­waltungsgerichts unterliegen Mitglieder in Exilorganisationen von in Äthiopien verbotenen oppositionellen Parteien, Teilnehmer an Veran­staltungen dieser Organisationen, Mitwirkende an regimekritischen De­monstrationen, welche die dabei üblichen Plakate tragen und Parolen rufen sowie Personen von sonstigen regimekritischen Veranstaltungen keiner allgemeinen Überwachungsgefahr durch äthiopische Behörden. Dass die äthiopischen Sicherheitskräfte zwischen tatsächlich politisch engagierten Regimekritikern und Exilaktivisten, die mit ihren Aktionen in erster Linie die Chance auf ein Aufenthaltsrecht zu erhöhen ver­su­chen, zu unterscheiden vermögen, darf, entgegen den anders­lau­ten­den Ausführungen in der Beschwerde, vorausgesetzt werden. Betref­fend die Teilnahme an Demonstrationen ist anzumerken, dass der Be­schwerdeführer bei diesen Veranstaltungen eher als "Mitläufer" denn als treibende Kraft zu bezeichnen ist. So geht insbesondere weder aus den eingereichten Fotografien noch den Bestätigungsschreiben vom 15.03.2007 (vgl. Beilagen zum zweiten Asylgesuch [Akten BFM B 3]) - wie vom Beschwerdeführer beziehungsweise seinem Rechtsvertreter vorgebracht - hervor, er habe sich in einem aussergewöhnlichen Aus­mass politisch exponiert, so dass effektiv davon auszugehen wäre, er habe als Oppositioneller die Aufmerksamkeit der äthiopischen Be­hör­den derart auf sich gezogen, dass er bei einer Rückkehr in seinen Heimatstaat eine flüchtlingsrechtlich relevante Gefährdung zu befürch­ten hätte. Aus den eingereichten Beweismitteln ist lediglich zu schlies­sen, dass er sich gelegentlich an Versammlungen der genannten exil­politischen Organisation in der Schweiz beteiligt und an vereinzelten Demonstrationen teilgenommen hat. Eine besondere Auffälligkeit ist indessen nicht zu erkennen. Daran vermögen angesichts der Flut von im Inter­net erscheinenden Veröffentlichungen auch die - relativ weni­gen - Publikationen des Beschwerdeführers nichts zu ändern. Der Hin­weis in der Beschwerdeschrift (S. 3) auf das Urteil des Bundesverwal­tungs­ge­richts D-5060/2007 vom 30. November 2007 erweist sich ebenfalls als unbehelflich. In diesem wird nämlich einzig die Frage be­antwortet, ob die Vorinstanz das zweite Asylgesuch der dortigen Be­schwerde­führe­rin zu Recht als aussichtslos bezeichnet hat und wegen Nichtleistens des einverlangten Gebührenvorschusses auf das ent­sprechende Ge­such nicht eingetreten ist. Es wurde jedoch in jenem Verfahren nicht entschieden, ob subjektive Nachfluchtgründe vor-lie­gen, welche die Flüchtlingseigenschaft zu begründen vermögen. Fest­zuhalten ist so­dann, dass keine Hinweise aktenkundig sind, wonach der Beschwerde­führer in der Schweiz in einer hohen und in der Öf­fentlichkeit expo­nier­ten Kaderstelle einer Exilorganisation tätig (ge­wesen) wäre. Seine gel­tend gemachten Aktivitäten für die CUDP/KINIJIT in der Schweiz ver­mögen kein derartiges politisches Profil zu entwickeln, dass die äthio­pischen Behörden den Be­schwer­de­führer als ernsthaften und in sei­nem Wirkungsgrad gefährlichen Re­gimegegner identifizieren könnten. Sein exilpolitisches Betätigungsfeld ist nicht geeignet, ein asylre­le­van­tes staatliches Verfolgungsinteresse in Äthiopien zu begründen. Daran vermögen auch die Aussagen des Beschwerdeführers, er habe Drohanrufe erhalten, nichts zu ändern, zumal der Vorinstanz darin bei­zu­pflichten ist, dass die Angaben des Beschwerdeführers zu diesen - zwei oder drei - Anrufen (vgl. Akten BFM B 18/12 S. 8 f.) nicht über­zeugend ausfielen. Angesichts der Ernsthaftigkeit von Drohanrufen er­scheinen die Schilderungen des Be­schwerdeführers vage und wenig realitätsnah. Dies umso mehr, als es sich nicht um eine Vielzahl von Anrufen, sondern um zwei oder drei Anrufe gehandelt haben soll. Schliesslich vermag der Beschwerdeführer aus dem Hinweis auf an­geblich gleich gelagerte Fälle (wie etwa N [...], N [...] [vgl. Beschwerde S. 9]) nichts zu seinen Gunsten abzuleiten. Zwar ist für das Bundesverwaltungsgericht aufgrund der Einträge im Zentralen Mi­grationssystem ersichtlich, dass einer der betroffenen Personen (nach mehrjährigem Aufenthalt in der Schweiz) die Flüchtlingseigenschaft zugesprochen wurde, dies lässt jedoch nicht auf einen vergleichbaren Fall schliessen. Es ist nicht Sache des Bundesverwaltungsgerichts, allein auf entsprechende Behauptung hin vorinstanzliche Akten beizu­ziehen.</w:t>
      </w:r>
    </w:p>
    <w:p>
      <w:r>
        <w:rPr>
          <w:b/>
        </w:rPr>
        <w:t>E. 6.3</w:t>
      </w:r>
    </w:p>
    <w:p>
      <w:r>
        <w:t>Unter Berücksichtigung der gesamten Umstände folgt, dass keine subjektiven Nachfluchtgründe im Sinne von Art. 54 AsylG vorliegen, weshalb die Vorinstanz zu Recht die Flüchtlingseigenschaft des Beschwerdeführers verneint und sein zweites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konstanter Praxis wird von einer grundsätzlichen Zumutbarkeit des Wegweisungsvollzuges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8.4.2</w:t>
      </w:r>
    </w:p>
    <w:p>
      <w:r>
        <w:t>Auch aufgrund der persönlichen Situation des Beschwerdeführers sind keine Gründe ersichtlich, die gegen die Zumutbarkeit des Wegweisungsvollzuges sprechen. Der Beschwerdeführer ist gemäss den Akten noch jung und gesund. In Bezug auf die Zumutbarkeit des Wegweisungsvollzuges wird sodann auf Beschwerdeebene einzig auf die allgemeine Situation in Äthiopien hingewiesen. Diesbezüglich ist auf vorstehende Erwägung Ziffer 8.4.1 zu verweisen. Im Übrigen kann, um unnötige Wiederholungen zu vermeiden, auf die entsprechenden, weiterhin geltenden Ausführungen im Urteil der ARK vom 14. März 2006 verwiesen werden.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9. April 2009 in gleicher Höhe geleitsteten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