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D-1745/2013 vom 8. April 2013</w:t>
      </w:r>
    </w:p>
    <w:p>
      <w:r>
        <w:t>Bundesverwaltungsgericht, 2013-04-08, DE</w:t>
      </w:r>
    </w:p>
    <w:p>
      <w:r>
        <w:rPr>
          <w:b/>
        </w:rPr>
        <w:t xml:space="preserve">Quelle: </w:t>
      </w:r>
      <w:r>
        <w:t>https://mcp.opencaselaw.ch/entscheid/bvger_D-1745_2013</w:t>
      </w:r>
    </w:p>
    <w:p>
      <w:r>
        <w:t>FR: TAF D-1745/2013 du 8 avril 2013</w:t>
      </w:r>
    </w:p>
    <w:p>
      <w:r>
        <w:t>IT: TAF D-1745/2013 del 8 aprile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6 AsylG i.V.m. Art. 48 Abs. 1 VwVG).</w:t>
      </w:r>
    </w:p>
    <w:p>
      <w:r>
        <w:rPr>
          <w:b/>
        </w:rPr>
        <w:t>E. 1.3</w:t>
      </w:r>
    </w:p>
    <w:p>
      <w:r>
        <w:t>Parteieingaben vor den Behörden des Bundes sind grundsätzlich in einer schweizerischen Amtssprache abzufassen (Art. 70 Abs. 1 der Bundesverfassung der Schweizerischen Eidgenossenschaft vom 18. April 1999 [BV, SR 101] und Art. 33a Abs. 1 VwVG). Aus prozessökonomischen Gründen wurde vorliegend auf eine Rückweisung der englischsprachigen Beschwerdeeingabe verzichtet, zumal diese von vornherein verständlich ist. Der vorliegende Entscheid ergeht indessen in deutscher Sprache (Art. 33a Abs. 2 VwVG i.V.m. Art. 6 AsylG).</w:t>
      </w:r>
    </w:p>
    <w:p>
      <w:r>
        <w:rPr>
          <w:b/>
        </w:rPr>
        <w:t>E. 1.4</w:t>
      </w:r>
    </w:p>
    <w:p>
      <w:r>
        <w:t>Auf die im Übrigen form- und fristgerecht eingereichte Beschwerde ist somit - unter Vorbehalt der nachfolgenden Erwägungen - einzutreten (Art. 108 Abs. 2 AsylG sowie Art. 105 AsylG i.V.m. Art. 37 VGG und Art. 52 VwVG).</w:t>
      </w:r>
    </w:p>
    <w:p>
      <w:r>
        <w:rPr>
          <w:b/>
        </w:rPr>
        <w:t>E. 2</w:t>
      </w:r>
    </w:p>
    <w:p>
      <w:r>
        <w:t>Asylsuchende dürfen den Abschluss des Verfahrens in der Schweiz abwarten (Art. 42 AsylG). Vorliegend wurde der Beschwerde die aufschiebende Wirkung nicht entzogen, weshalb auf die Anträge in der Beschwerdeschrift betreffend Wiederherstellung der aufschiebenden Wirkung und Untersagung der Kontaktaufnahme und Datenweitergabe an das Heimat- oder Herkunftsland im Hinblick auf die Vollzugsorganisation nicht einzutreten ist.</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6</w:t>
      </w:r>
    </w:p>
    <w:p>
      <w:r>
        <w:t>Das BFM hat die geltend machten Ausreisegründe des Beschwerdeführers als den Anforderungen an die Glaubhaftigkeit gemäss Art. 7 AsylG nicht genügend erachtet. Dieser Einschätzung ist im Ergebnis beizupflichten. Zur Vermeidung von Wiederholungen kann auf die nicht zu beanstandenden Ausführungen in der angefochtenen Verfügung verwiesen werden. Die Rechtsmitteleingabe erschöpft sich im Wesentlichen in einer Wiederholung der bisherigen Vorbringen. Ihr sind keine stichhaltigen Entgegnungen zu entnehmen, die eine Änderung in der Frage der Flüchtlingseigenschaft und des Asyls (und der Durchführbarkeit des Wegweisungsvollzugs) zu bewirken vermöchten.</w:t>
      </w:r>
    </w:p>
    <w:p>
      <w:r>
        <w:rPr>
          <w:b/>
        </w:rPr>
        <w:t>E. 6.1</w:t>
      </w:r>
    </w:p>
    <w:p>
      <w:r>
        <w:t>Die Schilderungen des Beschwerdeführers zu seinen Fluchtgründen vermögen nicht zu überzeugen und die vom BFM geäusserten Zweifel an deren Glaubhaftigkeit sind berechtigt. Mit der blossen Wiederholung der bisherigen Vorbringen in der Rechtsmitteleingabe vermag der Beschwerdeführer die aufgezeigten Widersprüche und Tatsachenwidrigkeiten nicht auszuräumen. Die Tatsache, dass der Beschwerdeführer in den letzten Jahren wiederholt ins Ausland gereist ist, ohne dass er bei den Aus- und Wiedereinreisen in die USA Probleme zu gewärtigen hatte, widerspricht von vornherein seiner angeblichen Verfolgung durch die amerikanischen Behörden. Seinen Verfolgungsvorbringen fehlt es damit an jeglicher Realitätsnähe. Im Übrigen vermag das Fehlen einer Arbeitsstelle im Heimatland keine asylbeachtlich relevante Verfolgung im Sinne von Art. 3 AsylG zu begründen.</w:t>
      </w:r>
    </w:p>
    <w:p>
      <w:r>
        <w:rPr>
          <w:b/>
        </w:rPr>
        <w:t>E. 6.2</w:t>
      </w:r>
    </w:p>
    <w:p>
      <w:r>
        <w:t>Dem Beschwerdeführer ist es damit nicht gelungen ist, nachzuweisen oder zumindest glaubhaft zu machen, dass er im Heimatland ernsthafte Nachteile erlitten hat oder solche bei der Ausreise zu befürchten hatte beziehungsweise im Fall der Rückkehr in die USA befürchten müsste. Er erfüllt damit die Flüchtlingseigenschaft gemäss Art. 3 AsylG nicht. Das Bundesamt hat das Asylgesuch zu Recht abgelehnt.</w:t>
      </w:r>
    </w:p>
    <w:p>
      <w:r>
        <w:rPr>
          <w:b/>
        </w:rPr>
        <w:t>E. 7</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Vorliegend ist der Vollzug der Wegweisung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keine Anwendung findet. Anhaltspunkte für eine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 der Menschenrechte und Grundfreiheiten (EMRK, SR 0.101), die im Heimat- oder Herkunftsstaat droht, sind keine ersichtlich.</w:t>
      </w:r>
    </w:p>
    <w:p>
      <w:r>
        <w:rPr>
          <w:b/>
        </w:rPr>
        <w:t>E. 8.2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Vorliegend lassen weder die allgemeine Lage in den USA noch individuelle Gründe auf eine konkrete Gefährdung des Beschwerdeführers im Falle einer Rückkehr schliessen. Der Beschwerdeführer erhält gemäss eigenen Angaben vom amerikanischen Staat eine monatliche Rente und hat Zugang zu ärztlicher Versorgung wie auch zu sozialen Institutionen. Zudem war er in den letzten Jahren finanziell in der Lage, wiederholt für Flugreisen aufzukommen (vgl. B7 S. 4 ff.). Es ist damit nicht davon auszugehen, er würde bei einer Rückkehr in eine seine Existenz vernichtende Situation geraten, die als konkrete Gefährdung im Sinne der zu beachtenden Bestimmungen zu werten wäre (Art. 83 Abs. 4 AuG). Der Vollzug der Wegweisung erweist sich daher als zumutbar.</w:t>
      </w:r>
    </w:p>
    <w:p>
      <w:r>
        <w:rPr>
          <w:b/>
        </w:rPr>
        <w:t>E. 8.3</w:t>
      </w:r>
    </w:p>
    <w:p>
      <w:r>
        <w:t>Der Vollzug der Wegweisung des Beschwerdeführers ist schliesslich auch als möglich zu bezeichnen, da keine Vollzugshindernisse bestehen (Art. 83 Abs. 2 AuG), und es ihm obliegt, bei der allenfalls notwendigen Beschaffung gültiger Reisepapiere - er ist im Besitz eines bis im Jahr 2015 gültigen Passes - mitzuwirken (vgl. Art. 8 Abs. 4 AsylG und dazu auch BVGE 2008/34 E. 12 S. 513 - 515).</w:t>
      </w:r>
    </w:p>
    <w:p>
      <w:r>
        <w:rPr>
          <w:b/>
        </w:rPr>
        <w:t>E. 8.4</w:t>
      </w:r>
    </w:p>
    <w:p>
      <w:r>
        <w:t>Der durch die Vorinstanz verfügte Wegweisungsvollzug ist damit zu bestätigen und eine Anordnung der vorläufigen Aufnahme des Beschwerdeführers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somit abzuweisen, soweit auf diese einzutreten ist.</w:t>
      </w:r>
    </w:p>
    <w:p>
      <w:r>
        <w:rPr>
          <w:b/>
        </w:rPr>
        <w:t>E. 10</w:t>
      </w:r>
    </w:p>
    <w:p>
      <w:r>
        <w:t>Das Gesuch um Verzicht auf die Erhebung eines Kostenvorschusses ist mit vorliegendem Urteil ohne vorgängige Instruktion gegenstandslos geworden.</w:t>
      </w:r>
    </w:p>
    <w:p>
      <w:r>
        <w:rPr>
          <w:b/>
        </w:rPr>
        <w:t>E. 11.1</w:t>
      </w:r>
    </w:p>
    <w:p>
      <w:r>
        <w:t>Aufgrund der vorstehenden Erwägungen ist die Beschwerde als aussichtslos zu qualifizieren, weshalb das Gesuch um Gewährung der unentgeltlichen Rechtspflege im Sinne von Art. 65 Abs. 1 und 2 VwVG ungeachtet der allfälligen, indes nicht belegten Bedürftigkeit des Beschwerdeführers abzuweisen ist.</w:t>
      </w:r>
    </w:p>
    <w:p>
      <w:r>
        <w:rPr>
          <w:b/>
        </w:rPr>
        <w:t>E. 11.2</w:t>
      </w:r>
    </w:p>
    <w:p>
      <w:r>
        <w:t>Bei diesem Ausgang des Verfahrens sind dessen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