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D-1740/2023 vom 4. April 2023</w:t>
      </w:r>
    </w:p>
    <w:p>
      <w:r>
        <w:t>Bundesverwaltungsgericht, 2023-04-04, DE</w:t>
      </w:r>
    </w:p>
    <w:p>
      <w:r>
        <w:rPr>
          <w:b/>
        </w:rPr>
        <w:t xml:space="preserve">Quelle: </w:t>
      </w:r>
      <w:r>
        <w:t>https://mcp.opencaselaw.ch/entscheid/bvger_D-1740_2023</w:t>
      </w:r>
    </w:p>
    <w:p>
      <w:r>
        <w:t>FR: TAF D-1740/2023 du 4 avril 2023</w:t>
      </w:r>
    </w:p>
    <w:p>
      <w:r>
        <w:t>IT: TAF D-1740/2023 del 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4.3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Der Beschwerdeführer gelangte gemäss seinen Angaben zwar zunächst (illegal) in Griechenland in das Hoheitsgebiet der Dublin-Mitgliedstaaten (vgl. SEM-Akten 1225607-21), was - wie in der Beschwerde vorgebracht - gestützt auf Art. 13 Abs. 1 Dublin-III-VO die Zuständigkeit Griechenlands begründen könnte. Da im Falle von Griechenland indessen nach ständiger Praxis in der Regel vom Vorliegen systemischer Mängel (im Sinne von Art. 3 Abs. 2 Satz 2 Dublin-III-VO) auszugehen ist (vgl. Urteil des BVGer D-4651/2022 vom 20. Oktober 2022; bereits Urteil des Gerichtshofs der Europäischen Union [EuGH] vom 21. Dezember 2011 in den verbundenen Rechtssachen C-411/10 [N. S./Secretary of State for the Home Department] und C-493/10 [M. E. u.a. /Refugee Applications Commissioner, Minister for Justice, Equality and Law Reform], Rn. 87 ff.), der Beschwerdeführer dort nicht als Asylsuchender registriert wurde und er unbestrittenermassen in Kroatien erneut in den Dublin-Raum einreiste, ist das Ersuchen des SEM an die kroatischen Behörden nicht zu beanstanden. Im Übrigen hat das SEM die kroatischen Behörden im Übernahmeersuchen (vgl. SEM-Akten 1225607-13 S. 4) ordnungsgemäss über den Reiseweg informiert.</w:t>
      </w:r>
    </w:p>
    <w:p>
      <w:r>
        <w:rPr>
          <w:b/>
        </w:rPr>
        <w:t>E. 5.2</w:t>
      </w:r>
    </w:p>
    <w:p>
      <w:r>
        <w:t>Auf die weiteren, diesbezüglichen Ausführungen in der Beschwerde und auf die Frage, ob die Berufung auf die Zuständigkeit Griechenlands mit Blick auf den Grundsatz von Treu und Glauben (Art. 9 BV) als rechtsmissbräuchlich einzustufen wäre, da er dort gemäss eigenen Angaben kein Asylgesuch einreichen wollte, sondern er diese Zuständigkeit wohl deshalb behauptet, um einen Selbsteintritt der Schweiz zu bewirken (vgl. Urteil des BVGer D-4651/2022 vom 20. Oktober 2022 mit Hinweis auf Urteil des BVGer F-4557/2019 vom 4. Dezember 2019 E. 3.5), ist nicht weiter einzugehen.</w:t>
      </w:r>
    </w:p>
    <w:p>
      <w:r>
        <w:rPr>
          <w:b/>
        </w:rPr>
        <w:t>E. 6</w:t>
      </w:r>
    </w:p>
    <w:p>
      <w:r>
        <w:t>Der Beschwerdeführer wurde laut Abgleich der Fingerabdrücke mit der Eurodac-Datenbank am 31. Dezember 2022 in Kroatien aufgegriffen und dort daktyloskopisch registriert. Die kroatischen Behörden stimmten der Aufnahme des Beschwerdeführers am 17. März 2023 in Anwendung von Art. 13 Abs. 1 Dublin-III-VO ausdrücklich zu. Die grundsätzliche Zuständigkeit Kroatiens für die Durchführung des Asyl- und Wegweisungsverfahrens des Beschwerdeführers ist somit gegeben. Sein Einwand, er sei dort zur Abgabe der Fingerabdrücke gezwungen worden,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auf Art. 14 Abs. 1 der Verordnung (EU) Nr. 603/2013 des Europäischen Parlaments und des Rats vom 26. Juni 2013 (Eurodac-Verordnung). Das Vorgehen der kroatischen Behörden ist damit insoweit nicht zu beanstanden. Der vom Beschwerdeführer nicht bestrittene Aufenthalt in Kroatien respektive seine dortige illegale Einreise begründete die Zuständigkeit Kroatiens (Art. 18 Abs. 1 Bst. a Dublin-III-VO).</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zur Publikation als Referenzurteil vorgesehenen 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dafür bestehen, die befürchten lassen würden,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7.4</w:t>
      </w:r>
    </w:p>
    <w:p>
      <w:r>
        <w:t>Von einer Überstellung ist nur in Ausnahmefällen abzusehen, in welchen gesuchstellende Personen durch substantiierte Vorbringen darlegen können, dass die generelle Annahme wie im Referenzurteil E-1488/2020 vom 22. März 2023 aufgezeigt, in ihrem Fall nicht zutrifft. Dies gelingt dem Beschwerdeführer mit seinen Schilderungen der Erlebnisse beim Grenzübertritt nach Kroatien und kurzen Aufenthalt in dem Land sowie dem Verweis in der Rechtsmitteleingabe auf Berichte verschiedener Organisationen betreffend punktuelle Schwachstellen im kroatischen Asylsystem nicht. Eine Übernahme der Zuständigkeit Kroatiens gestützt auf Art. 3 Abs. 2 Dublin-III-VO ist damit nicht angezeigt.</w:t>
      </w:r>
    </w:p>
    <w:p>
      <w:r>
        <w:rPr>
          <w:b/>
        </w:rPr>
        <w:t>E. 8.1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Der Beschwerdeführer machte geltend, er sei beim Grenzübertritt von kroatischen Polizisten geschlagen und anschliessend unzulänglich versorgt worden. Zudem leide er an gesundheitlichen Problemen.</w:t>
      </w:r>
    </w:p>
    <w:p>
      <w:r>
        <w:rPr>
          <w:b/>
        </w:rPr>
        <w:t>E. 8.3</w:t>
      </w:r>
    </w:p>
    <w:p>
      <w:r>
        <w:t>Die kroatischen Behörden haben der Aufnahme des Beschwerdeführers am 17. März 2023 zugestimmt und damit ihre Zuständigkeit zur Prüfung seines Antrags auf internationalen Schutz explizit anerkannt. Den Akten sind keine Gründe für die Annahme zu entnehmen, sie würden dem Beschwerdeführer nach einer Überstellung den Zugang zum Asylverfahren unter Einhaltung der Regeln der Verfahrensrichtlinie verweigern. Alleine die Behauptung, er hätte in Kroatien bereits ein Asylgesuch gestellt, wenn es möglich gewesen wäre, genügt nicht. Es liegen auch keine konkreten Anhaltspunkte dafür vor, das dortige Asylverfahren würde nicht korrekt durchgeführt beziehungsweise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8.4</w:t>
      </w:r>
    </w:p>
    <w:p>
      <w:r>
        <w:t>Es sind ebenso wenig konkrete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Auch mit der Behauptung, seitens kroatischen Grenzwächter Gewalt erfahren zu haben, was nicht auszuschliessen und keinesfalls gutzuheissen wäre, vermag der Beschwerdeführer nicht darzutun, er würde ernsthafte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8.5</w:t>
      </w:r>
    </w:p>
    <w:p>
      <w:r>
        <w:t>Laut den Abklärungen des SEM sind beim Beschwerdeführer (...), (...), eine (...) und (...) aktenkundig. Die Beschwerden wurden medikamentös behandelt.</w:t>
      </w:r>
    </w:p>
    <w:p>
      <w:r>
        <w:rPr>
          <w:b/>
        </w:rPr>
        <w:t>E. 8.5.1</w:t>
      </w:r>
    </w:p>
    <w:p>
      <w:r>
        <w:t>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8.5.2</w:t>
      </w:r>
    </w:p>
    <w:p>
      <w:r>
        <w:t>Die gesundheitlichen Beeinträchtigungen des Beschwerdeführers sind nicht von einer Schwere, dass sie die Feststellung der Unzulässigkeit im Sinne der restriktiven Rechtsprechung zu rechtfertigen vermöchten. Zudem steht in Kroatien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Urteile des BVGer D-272/2023 vom 8. Februar 2023 E. 7.2.3, D-4163/2022 vom 2. Februar 2023 E. 9.3.2, D-5422/2022 vom 23. Januar 2023 E. 9.3.2, D-5623/2022 vom 12. Dezember 2022 E. 6.2.2 und D-5299/2022 vom 30. November 2022 E. 7.2 m.v.H.).</w:t>
      </w:r>
    </w:p>
    <w:p>
      <w:r>
        <w:rPr>
          <w:b/>
        </w:rPr>
        <w:t>E. 8.5.3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 entgegen der Ansicht des Beschwerdeführers - keine Gründe, die ein Abweichen von dieser Regel gebieten würden. Der entsprechende Subeventualantrag des Beschwerdeführers um Rückweisung der Sache zwecks Einholung von Garantien ist abzuweisen. Der Beschwerdeführer kann sich an die zuständigen kroatischen Behörden wenden und die ihm zustehenden Aufnahmebedingungen gegebenenfalls auf dem Rechtsweg einfordern (vgl. Art. 26 Aufnahmerichtlinie). Überdies werden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8.6</w:t>
      </w:r>
    </w:p>
    <w:p>
      <w:r>
        <w:t>Nach dem Gesagten konnte der Beschwerdeführer kein konkretes und ernsthaftes Risiko dartun, wonach seine Überstellung nach Kroatien die Verletzung völkerrechtlicher Bestimmungen zur Folge hätte.</w:t>
      </w:r>
    </w:p>
    <w:p>
      <w:r>
        <w:rPr>
          <w:b/>
        </w:rPr>
        <w:t>E. 9.1</w:t>
      </w:r>
    </w:p>
    <w:p>
      <w:r>
        <w:t>Der Vorinstanz kommt bei der Anwendung von Art. 29a Abs. 3 AsylV 1 Ermessen zu (vgl. BVGE 2015/9 E. 7 f.). Die angefochtene Verfügung ist unter diesem Blickwinkel nicht zu beanstanden. Entgegen der vom Beschwerdeführer in der Rechtsmitteleingabe vertretenen Auffassung sind den Akten keine Hinweise auf eine gesetzeswidrige Ermessensausübung respektive ein Über- beziehungsweise Unterschreiten des Ermessens (vgl. Art. 106 Abs. 1 Bst. a AsylG) durch das SEM zu entnehmen. Der vom Beschwerdeführer in diesem Zusammenhang erhobene Eventualantrag um Rückweisung zwecks Neubeurteilung durch die Vorinstanz ist abzuweisen. Das Bundesverwaltungsgericht enthält sich unter diesen Umständen weiterer Ausführungen zur Frage eines Selbsteintritts.</w:t>
      </w:r>
    </w:p>
    <w:p>
      <w:r>
        <w:rPr>
          <w:b/>
        </w:rPr>
        <w:t>E. 9.2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BVGE 2010/45 E. 8.3). Kroatien bleibt somit zuständiger Mitgliedstaat gemäss Dublin-III-VO und ist verpflichtet, den Beschwerdeführer aufzunehmen.</w:t>
      </w:r>
    </w:p>
    <w:p>
      <w:r>
        <w:rPr>
          <w:b/>
        </w:rPr>
        <w:t>E. 9.3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10</w:t>
      </w:r>
    </w:p>
    <w:p>
      <w:r>
        <w:t>Die Beschwerde ist aufgrund des Gesagten abzuweisen und die Verfügung des SEM zu bestätigen.</w:t>
      </w:r>
    </w:p>
    <w:p>
      <w:r>
        <w:rPr>
          <w:b/>
        </w:rPr>
        <w:t>E. 11</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12.1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von Fr. 750.- (Art. 1-3 des Reglements vom 21. Februar 2008 über die Kosten und Entschädigungen vor dem Bundesverwaltungsgericht [VGKE, SR 173.320.2 )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