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D-1734/2013 vom 16. Januar 2014</w:t>
      </w:r>
    </w:p>
    <w:p>
      <w:r>
        <w:t>Bundesverwaltungsgericht, 2014-01-16, DE</w:t>
      </w:r>
    </w:p>
    <w:p>
      <w:r>
        <w:rPr>
          <w:b/>
        </w:rPr>
        <w:t xml:space="preserve">Quelle: </w:t>
      </w:r>
      <w:r>
        <w:t>https://mcp.opencaselaw.ch/entscheid/bvger_D-1734_2013</w:t>
      </w:r>
    </w:p>
    <w:p>
      <w:r>
        <w:t>FR: TAF D-1734/2013 du 16 janvier 2014</w:t>
      </w:r>
    </w:p>
    <w:p>
      <w:r>
        <w:t>IT: TAF D-1734/2013 del 16 gennaio 2014</w:t>
      </w:r>
    </w:p>
    <w:p>
      <w:pPr>
        <w:pStyle w:val="Heading2"/>
      </w:pPr>
      <w:r>
        <w:t>Regeste</w:t>
      </w:r>
    </w:p>
    <w:p>
      <w:r>
        <w:t>Asyl und Wegweisung (Beschwerde gegen Wiedererwägungsentscheid)</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 Fritz Gygi, Bundesverwaltungsrechtspflege, 2. Aufl., Bern 1983, S. 212).</w:t>
      </w:r>
    </w:p>
    <w:p>
      <w:r>
        <w:rPr>
          <w:b/>
        </w:rPr>
        <w:t>E. 2.3</w:t>
      </w:r>
    </w:p>
    <w:p>
      <w:r>
        <w:t>Die Beschwerde ist im Verfahren einzelrichterlicher Zuständigkeit mit Zustimmung eines zweiten Richters beziehungsweise einer zweiten Richterin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stellte die Vorinstanz in Aussicht, nicht nur die beiden Vorfälle, sondern auch eine allfällige Veränderung der allgemeinen Situation in Sri Lanka vertieft abzuklären. Die Vorinstanz geht damit selbst davon aus, dass der Sachverhalt, wie er der Verfügung vom 21. März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w:t>
      </w:r>
    </w:p>
    <w:p>
      <w:r>
        <w:t>Angesichts des direkten Entscheids in der Hauptsache wird der Antrag, es sei der Beschwerde die aufschiebende Wirkung zuzuerkennen (vgl. Ziffer 4 der Rechtsbegehren der Verwaltungsbeschwerde beziehungsweise Ziffer 6 der Rechtsbegehren der Eingabe vom 2. Mai 2013) gegen­standslos.</w:t>
      </w:r>
    </w:p>
    <w:p>
      <w:r>
        <w:rPr>
          <w:b/>
        </w:rPr>
        <w:t>E. 5.1</w:t>
      </w:r>
    </w:p>
    <w:p>
      <w:r>
        <w:t>Bei diesem Ausgang des Verfahrens sind keine Kosten zu erheben (Art. 63 VwVG).</w:t>
      </w:r>
    </w:p>
    <w:p>
      <w:r>
        <w:rPr>
          <w:b/>
        </w:rPr>
        <w:t>E. 5.2</w:t>
      </w:r>
    </w:p>
    <w:p>
      <w:r>
        <w:t>Den Beschwerdeführenden sind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reichte mit Eingabe vom 21. November 2013 seine Kostennote zu den Akten und machte für das am 2. April 2013 anhängig gemachte Beschwerdeverfahren einen Aufwand von 19,51 Stunden bei einem Stundenansatz von Fr. 240.- sowie Auslagen von Fr. 78.20 geltend, was unter Berücksichtigung des Mehrwertsteuersatzes von 8% einen Betrag von Fr. 5141.40 ergibt. Der Rechtsvertreter legt in seinen Eingaben, so insbesondere in seiner ergänzenden Eingabe vom 2. Mai 2013, in weiten Teilen eine eigene Analyse der aktuellen Situation in der Heimat seiner Mandanten dar, weshalb der diesbezüglich betriebene Aufwand angesichts der Tatsache, dass die schweizerischen Asylbehörden die aktuelle Lage in den jeweiligen Heimat- und Herkunftsländern selber einer dauernden Überprüfung unterziehen, als teilweise übertrieben erscheint. Ebenso ist die Eingabe vom 21. November 2013, worin auf das Urteil des Bundesverwaltungsgerichts E-2948/2012 vom 14. No­vem­ber 2013 hingewiesen wird, als unnötig zu erachten. Der in der Kostennote ausgewiesene Aufwand ist daher entsprechend zu kürzen. Unter Berücksichtigung der massgebenden Bemessungsfaktoren (Art. 9-13 VGKE) hat das BFM den Beschwerdeführenden eine Parteientschädigung in der Höhe von insgesamt Fr. 1700.-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