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D-1731/2010 vom 20. April 2010</w:t>
      </w:r>
    </w:p>
    <w:p>
      <w:r>
        <w:t>Bundesverwaltungsgericht, 2010-04-20, DE</w:t>
      </w:r>
    </w:p>
    <w:p>
      <w:r>
        <w:rPr>
          <w:b/>
        </w:rPr>
        <w:t xml:space="preserve">Quelle: </w:t>
      </w:r>
      <w:r>
        <w:t>https://mcp.opencaselaw.ch/entscheid/bvger_D-1731_2010</w:t>
      </w:r>
    </w:p>
    <w:p>
      <w:r>
        <w:t>FR: TAF D-1731/2010 du 20 avril 2010</w:t>
      </w:r>
    </w:p>
    <w:p>
      <w:r>
        <w:t>IT: TAF D-1731/2010 del 20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bringen in in ihrer Rechtsmitteleingabe vom 17. März 2010 im Wesentlichen vor, ihre Asylgesuche stünden in engem Zusammenhang mit demjenigen ihres älteren Sohnes beziehungsweise Bruders X._______, der begründete Furcht habe, wegen seiner Aktivitäten für die Kurdische Arbeiterpartei (PKK) und die Marxistische Leninistische Kommunistische Partei (MLKP) im Falle der Rückkehr in die Türkei einer asylrelevanten Verfolgung ausgesetzt zu werden. Eine Kopie der für X._______ verfassten Beschwerdeschrift liege bei und bilde einen integrierenden Bestandteil der vorliegenden Beschwerdeschrift. Die Vorinstanz stelle nicht in Frage, dass tatsächlich fünf unbekannte Männer bei der Beschwerdeführerin eingedrungen seien und sie daraufhin eine Anzeige bei den türkischen Behörden eingereicht habe. Die Beschwerdeführerin habe den Vorfall mit dem politischen Engagement ihres Sohnes X._______ begründet. Wie aus der Beschwerdeschrift ihres älteren Sohnes ersichtlich werde, erwiesen sich seine Vorbringen entgegen der Auffassung des BFM als glaubhaft. Es müsse deshalb davon ausgegangen werden, dass er tatsächlich politisch aktiv sei und deshalb gesucht werde. Dies erkläre auch den Überfall durch die fünf Männer, selbst wenn ein diesbezüglicher Zusammenhang bisher nicht nachweisbar sei. Wie aus der Beschwerdeschrift von X._______ hervorgehe, habe die Beschwerdeführerin einen Anwalt beauftragt, der Licht in die Sache bringen solle. Sie erhoffe sich, dass die Recherchen des Anwalts zu Tage bringen würden, dass es sich bei den eingedrungenen Männern tatsächlich um Staatsbeamte gehandelt habe, die nach ihrem älteren Sohn gesucht hätten. Die Beschwerdeführerin selber habe tatsächlich kein politisches Profil und in der Türkei unauffällig als Verwaltungsbeamtin gelebt. Es müsse jedoch davon ausgegangen werden, dass sich dies durch die politischen Aktivitäten von X._______ in der Heimat, aber vor allem auch im Ausland, verändert habe. In ihrer Stellungnahme zur Botschaftsabklärung habe sie darauf hingewiesen, dass auch nach Auffassung des Bundesverwaltungsgerichts Repressalien gegen Familienangehörige mutmasslicher Aktivisten der PKK beziehungsweise ihrer Nachfolgeorganisationen oder anderer, von den Behörden als separatistisch betrachteten Gruppierungen nicht ausgeschlossen werden könnten. Auch die Schweizer Botschaft schliesse in ihrer Stellungnahme eine Gefährdung zumindest nicht aus. Durch die exilpolitischen Aktivitäten ihres älteren Sohnes für die PKK und die MLKP habe sich diese Gefahr noch massiv erhöht. Die Beschwerdeführerin habe somit begründete Furcht davor, bei einer Rückkehr in die Türkei einer asylrelevanten Reflexverfolgung ausgesetzt zu werden. Es könne als sicher gelten, dass X._______ und damit auch sie selber nicht nur lokal, sondern auch zentral registriert seien, bei der Rückkehr in die Türkei sofort verhaftet würden und damit angesichts der hinlänglich bekannten Methoden der türkischen Behörden Folterungen zu gewärtigen hätten. Dafür spreche auch die generelle Menschenrechtslage, die sich trotz gegenteiliger verbaler Zusicherungen der türkischen Behörden noch immer nicht wirklich gebessert habe. Nach dem Gesagten verstehe es sich auch von selber, dass im vorliegenden Fall keine innerstaatliche Fluchtalternative bestehe, da der Beschwerdeführer (recte: X._______) zur landesweiten Fahndung ausgeschrieben sei. Aus all diesen Gründen müsse der Entscheid der Vorinstanz dem Hauptantrag entsprechend aufgehoben und den Beschwerdeführenden in der Schweiz Asyl gewährt werden. Sollte der Zuerkennung der Flüchtlingseigenschaft irgendein Grund entgegenstehen, so wäre dennoch auf die Wegweisung zu verzichten.</w:t>
      </w:r>
    </w:p>
    <w:p>
      <w:r>
        <w:rPr>
          <w:b/>
        </w:rPr>
        <w:t>E. 5.2</w:t>
      </w:r>
    </w:p>
    <w:p>
      <w:r>
        <w:t>Für das Bundesverwaltungsgericht besteht nach Überprüfung der Akten keine Veranlassung, die Erwägungen des BFM zu beanstanden. Um Wiederholungen zu vermeiden, kann daher vorab auf die zutreffenden vorinstanzlichen Ausführungen in der angefochtenen Verfügung verwiesen werden. Die Vorbringen in der Rechtsmitteleingabe vom 17. März 2010 beziehungsweise der Beschwerdeverbesserung vom 6. April 2010 sind nicht geeignet, eine Änderung der angefochtenen Verfügung zu bewirken. Der Argumentation werden keine stichhaltigen Gründe entgegengesetzt. Eine Auseinandersetzung mit den vorinstanzlichen Erwägungen unterbleibt zwar nicht grundsätzlich, die Vorbringen verlaufen jedoch in allgemeinen Ausführungen und Mutmassungen, die durch keinerlei stichhaltige Argumenten gestützt werden.</w:t>
      </w:r>
    </w:p>
    <w:p>
      <w:r>
        <w:rPr>
          <w:b/>
        </w:rPr>
        <w:t>E. 5.3</w:t>
      </w:r>
    </w:p>
    <w:p>
      <w:r>
        <w:t>Die Vorinstanz hat in der angefochtenen Verfügung vom 12. Februar 2010 substanziiert und überzeugend dargelegt, dass die Beschwerdeführenden die Flüchtlingseigenschaft gemäss Art. 3 AsylG nicht erfüllen. Der Überfall und die Gewaltanwendung der fünf maskierten Männer hat objektiv betrachtet nicht die notwendige asylrechtliche Intensität erreicht und ist daher nicht geeignet, eine Zwangslage zu begründen, der sich die Beschwerdeführenden nur durch eine Flucht in die Schweiz entziehen konnten. Vielmehr ist das Verfahren, welches die Beschwerdeführerin gegen Unbekannt eingeleitet hat, gemäss Bericht der Schweizerischen Botschaft in Ankara und dem mit Eingabe vom 16. April 2010 nachgereichten Schriftstück noch immer hängig. Die türkischen Behörden sind also nach wie vor daran, die eingereichte Anzeige nach rechtsstaatlichen Gesichtspunkten zu behandeln. Die Beschwerdeführenden brachten überdies vor, dass ihre Asylgesuche in einem engen Zusammenhang mit demjenigen von X._______ stehen würden. Sie hätten wegen dessen Tätigkeiten für die PKK und die MLKP begründete Furcht, im Falle der Rückkehr in die Türkei einer asylrelevanten Verfolgung ausgesetzt zu werden. Gemäss Bericht der Schweizer Botschaft in Ankara vom 19. September 2009 besteht jedoch weder über die Beschwerdeführerin noch über deren älteren Sohn X._______ ein Datenblatt. Zudem würden beide auch nicht gesucht und unterlägen keinem Passverbot. Es liegen also keine Hinweise auf eine künftige asylrelevante Verfolgung vor. An dieser Einschätzung vermögen auch die Stellungnahme vom 28. Oktober 2009 im Rahmen des der Beschwerdeführerin gewährten rechtlichen Gehörs (vgl. A22) und der in diesem Kontext gemachte Verweis auf das Urteil des Bundesverwaltungsgerichts (...) - zumal sich die Umstände im Fall des zitierten Entscheides nicht mit demjenigen im vorliegenden Fall gleichsetzen lassen - etwas zu ändern.</w:t>
      </w:r>
    </w:p>
    <w:p>
      <w:r>
        <w:rPr>
          <w:b/>
        </w:rPr>
        <w:t>E. 5.4</w:t>
      </w:r>
    </w:p>
    <w:p>
      <w:r>
        <w:t>Das Bundesverwaltungsgericht kommt somit nach Prüfung der Akten und der Rechtsmitteleingabe zum Schluss, dass die Ausführungen in der Beschwerde nicht geeignet sind, die Erwägungen der Vorinstanz zu entkräften. Die Vorbringen der Beschwerdeführenden erfüllen die Anforderungen an die Flüchtlingseigenschaft gemäss Art. 3 AsylG nicht. Demzufolge hat das BFM zu Recht die Flüchtlingseigenschaft der Beschwerdeführenden verneint und die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Vorliegend sind keine Anhaltspunkte ersichtlich, wonach die Beschwerdeführenden bei einer Rückkehr in die Türkei aufgrund der allgemeinen Lage einer konkreten Gefährdung ausgesetzt wären. Das Bundesverwaltungsgericht erachtet den Wegweisungsvollzug in die Türkei gestützt auf die allgemeine Lage weiterhin als generell zumutbar (vgl. EMARK 2005 Nr. 21).</w:t>
      </w:r>
    </w:p>
    <w:p>
      <w:r>
        <w:rPr>
          <w:b/>
        </w:rPr>
        <w:t>E. 7.4.2</w:t>
      </w:r>
    </w:p>
    <w:p>
      <w:r>
        <w:t>Bei einer Gesamtwürdigung der aktuellen Situation in der Türkei bestehen auch keine individuellen Hinweise darauf, dass die Beschwerdeführenden dort einer konkreten Gefährdung im Sinne von Art. 83 Abs. 4 AuG ausgesetzt sein könnten. Die Beschwerdeführerin lebt zwar getrennt von ihrem Ehemann beziehungsweise vom Vater ihrer beiden Söhne, sie ist jedoch aufgrund ihrer soliden Schulbildung und ihrer früheren Berufstätigkeit in der Stadtverwaltung von C._______ (vgl. A1 S. 3) durchaus in der Lage, nach der Rückkehr erneut ein eigenes Auskommen zu generieren. Die gesundheitlichen Probleme der Beschwerdeführerin - gemäss ärztlichem Austrittsbericht des D._______ vom 30. März 2010 handelt es sich dabei um Gangunsicherheit nach prolongierter Migräneattacke mit psychogener Verstärkung, Migräne und eine arterielle Hypertonie - können auch in der Türkei adäquat behandelt werden. Überdies steht es der Beschwerdeführerin frei, beim BFM einen Antrag auf medizinische Rückkehrhilfe zu stellen, damit sie zumindest in der Anfangsphase mit den notwendigen Medikamenten versorgt werden kann. Auch der gemäss Akten junge und gesunde Beschwerdeführer verfügt über eine solide Schulbildung in der Türkei (vgl. A2 S. 2), und es steht ihm nach seiner Rückkehr frei, weiter in die Schule zu gehen oder eine Berufslehre zu beginnen. Zudem verfügen die Beschwerdeführenden in ihrer Heimat über ein familiäres und soziales Beziehungsnetz, welches sie gegebenenfalls zusätzlich unterstützen kann (vgl. A1 S. 3 und A10 S. 4 F14-18).</w:t>
      </w:r>
    </w:p>
    <w:p>
      <w:r>
        <w:rPr>
          <w:b/>
        </w:rPr>
        <w:t>E. 7.4.3</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7. April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