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D-1729/2025 vom 19. März 2025</w:t>
      </w:r>
    </w:p>
    <w:p>
      <w:r>
        <w:t>Bundesverwaltungsgericht, 2025-03-19, DE</w:t>
      </w:r>
    </w:p>
    <w:p>
      <w:r>
        <w:rPr>
          <w:b/>
        </w:rPr>
        <w:t xml:space="preserve">Quelle: </w:t>
      </w:r>
      <w:r>
        <w:t>https://mcp.opencaselaw.ch/entscheid/bvger_D-1729_2025</w:t>
      </w:r>
    </w:p>
    <w:p>
      <w:r>
        <w:t>FR: TAF D-1729/2025 du 19 mars 2025</w:t>
      </w:r>
    </w:p>
    <w:p>
      <w:r>
        <w:t>IT: TAF D-1729/2025 del 19 marzo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worden. Der Beschwerdeführer ist als Verfügungsadressat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erweist sich - wie nachstehend aufgezeigt - als offensichtlich 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Gemäss Art. 31a Abs. 1 Bst. a AsylG wird auf ein Asylgesuch nicht eingetreten, wenn die asylsuchende Person in einen sicheren Drittstaat nach Art. 6a Abs. 2 Bst. b AsylG zurückkehren kann, in welchem sie sich vorher aufgehalten hat. Bei den Ländern der Europäischen Union (EU) und der Europäischen Freihandelsassoziation (EFTA) besteht die gesetzliche Vermutung, dass es sich um sichere Drittstaaten handelt (vgl. Art. 6a Abs. 2 Bst. b AsylG.</w:t>
      </w:r>
    </w:p>
    <w:p>
      <w:r>
        <w:rPr>
          <w:b/>
        </w:rPr>
        <w:t>E. 5.2</w:t>
      </w:r>
    </w:p>
    <w:p>
      <w:r>
        <w:t>In allen Fällen nach Art. 31a Abs. 1 AsylG ist erforderlich, dass hinsichtlich des Vollzugs eine Rückübernahmezusicherung des Drittstaates vorliegt. Die tatsächliche Möglichkeit des Wegweisungsvollzugs (und nicht nur der Weiterreise oder Rückkehr) ist Rechtmässigkeitsvoraussetzung für den Erlass eines Nichteintretensentscheids gemäss Art. 31a Abs.1 AsylG; die Frage, ob die asylsuchende Person selbstständig beziehungsweise freiwillig in den Drittstaat zurückkehren könnte, ist für die Anwendung der Drittstaatenregelung demnach nicht ausschlaggebend (vgl. Urteile des BVGer D-7483/2024 vom 13. Dezember 2024 E. 6; D-788/2021 vom 25. November 2024 E. 5.2; E-4427/2021 vom 28. November 2023 E 4.2; Constantin Hruschka in: Spescha et al. [Hrsg.], Kommentar zum Migrationsrecht, 5. Aufl. 2019, Art. 31a AsylG Rn. 3, vgl. auch BBl 2002 6845, 6850).</w:t>
      </w:r>
    </w:p>
    <w:p>
      <w:r>
        <w:rPr>
          <w:b/>
        </w:rPr>
        <w:t>E. 6.1</w:t>
      </w:r>
    </w:p>
    <w:p>
      <w:r>
        <w:t>Der Beschwerdeführer rügt eine unvollständige Sachverhaltserstellung. Er macht geltend, die Vorinstanz habe keine Übernahmezusicherung bei den italienischen Behörden eingeholt, obwohl sie dazu verpflichtet gewesen wäre. Die Zusicherung des entsprechenden Drittstaats zur Rückübernahme der betreffenden Person sei eine Voraussetzung für den Erlass eines Nichteintretensentscheides. Da die Vorinstanz dies versäumt habe, sei die Sache an die Vorinstanz zurückzuweisen.</w:t>
      </w:r>
    </w:p>
    <w:p>
      <w:r>
        <w:rPr>
          <w:b/>
        </w:rPr>
        <w:t>E. 6.2</w:t>
      </w:r>
    </w:p>
    <w:p>
      <w:r>
        <w:t>Die Vorinstanz ist in ihrem Entscheid gestützt auf Art. 31a Abs. 1 Bst. a AsylG nicht auf das Asylgesuch eingetreten und hat die Wegweisung nach Italien angeordnet. Sie hat sich diesbezüglich auf den Standpunkt gestellt, dass das Einholen einer solchen Rückübernahmezusicherung nicht nötig sei, da der Beschwerdeführer über gültige Reisedokumente verfüge und in Italien als Flüchtling anerkannt worden sei, weshalb er über einen Titel verfügen würde, der ihm die Rückkehr nach Italien erlaube.</w:t>
      </w:r>
    </w:p>
    <w:p>
      <w:r>
        <w:rPr>
          <w:b/>
        </w:rPr>
        <w:t>E. 6.3</w:t>
      </w:r>
    </w:p>
    <w:p>
      <w:r>
        <w:t>Diese Argumentation der Vorinstanz trifft jedoch ins Leere, da ein solcher Nichteintretensentscheid voraussetzt, dass der übernehmende Staat eine Rückübernahmezusicherung abgegeben hat. Vorliegend ist das SEM ohne die erforderliche Zusicherung der Rückübernahme des Beschwerdeführers durch die zuständigen italienischen Behörden in Anwendung von Art. 31a Abs. 1 Bst. a AsylG auf das Asylgesuch nicht eingetreten. Der entscheidrelevante Sachverhalt im Hinblick auf die Frage, ob eine Überstellung nach Italien rechtmässig sei, ist demnach nicht rechtsgenüglich erstellt.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7.2</w:t>
      </w:r>
    </w:p>
    <w:p>
      <w:r>
        <w:t>Aufgrund der vorzunehmenden Anfrage zur Rückübernahme ist es angezeigt, die angefochtene Verfügung aufzuheben und die Sache zur vollständigen Sachverhaltsfeststellung (Einholen der erforderlichen Zusicherung der Rückübernahme des Beschwerdeführers durch die zuständigen italienischen Behörden) sowie zu neuer Entscheidung an die Vorinstanz zurückzuweisen. Die Beschwerde ist somit gutzuheissen.</w:t>
      </w:r>
    </w:p>
    <w:p>
      <w:r>
        <w:rPr>
          <w:b/>
        </w:rPr>
        <w:t>E. 8</w:t>
      </w:r>
    </w:p>
    <w:p>
      <w:r>
        <w:t>Bei diesem Ausgang des Verfahrens sind keine Kosten zu erheben (Art. 63 Abs. 1 und 2 VwVG). 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300.-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