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D-1729/2019 vom 2. Mai 2019</w:t>
      </w:r>
    </w:p>
    <w:p>
      <w:r>
        <w:t>Bundesverwaltungsgericht, 2019-05-02, DE</w:t>
      </w:r>
    </w:p>
    <w:p>
      <w:r>
        <w:rPr>
          <w:b/>
        </w:rPr>
        <w:t xml:space="preserve">Quelle: </w:t>
      </w:r>
      <w:r>
        <w:t>https://mcp.opencaselaw.ch/entscheid/bvger_D-1729_2019</w:t>
      </w:r>
    </w:p>
    <w:p>
      <w:r>
        <w:t>FR: TAF D-1729/2019 du 2 mai 2019</w:t>
      </w:r>
    </w:p>
    <w:p>
      <w:r>
        <w:t>IT: TAF D-1729/2019 del 2 maggio 2019</w:t>
      </w:r>
    </w:p>
    <w:p>
      <w:pPr>
        <w:pStyle w:val="Heading2"/>
      </w:pPr>
      <w:r>
        <w:t>Regeste</w:t>
      </w:r>
    </w:p>
    <w:p>
      <w:r>
        <w:t>Asyl und Wegweisung (verkürzte Beschwerdefrist)</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Das Verfahren richtet sich nach dem VwVG, dem VGG und dem BGG, soweit das AsylG nichts anderes bestimmt (Art. 37 VGG und Art. 6 AsylG).</w:t>
      </w:r>
    </w:p>
    <w:p>
      <w:r>
        <w:rPr>
          <w:b/>
        </w:rPr>
        <w:t>E. 1.2</w:t>
      </w:r>
    </w:p>
    <w:p>
      <w:r>
        <w:t>Am 1. März 2019 ist die Teilrevision (AS 2016 3101) des Asylgesetzes vom 26. Juni 1998 (AsylG) in Kraft getreten. Für Asylgesuche, die - wie auch das vorliegende (vgl. SEM act. A11) - nicht in den Zentren des Bundes behandelt werden können, gilt das bisherige Recht (vgl. Abs. 3 der Übergangsbestimmungen zur Änderung des AsylG vom 25. September 2015; SEM act. A11).</w:t>
      </w:r>
    </w:p>
    <w:p>
      <w:r>
        <w:rPr>
          <w:b/>
        </w:rPr>
        <w:t>E. 1.3</w:t>
      </w:r>
    </w:p>
    <w:p>
      <w:r>
        <w:t>Der Beschwerdeführer ist als Verfügungsadressat zur Beschwerdeführung legitimiert (Art. 48 VwVG). Auf die frist- und formgerecht eingereichte Beschwerde ist einzutreten (aArt. 108 Abs. 2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gelangte in der angefochtenen Verfügung zum Schluss, dass die Vorbringen der Beschwerdeführenden bereits in den vorangegangenen Verfahren als weder den Anforderungen an die Glaubhaftigkeit noch an die Flüchtlingseigenschaft genügend beurteilt worden seien. Der Eingabe vom 7. März 2019 sei nichts wesentlich Neues zu entnehmen. Aus den unsubstanziierten Aussagen zu den Drohungen und der Brandstiftung liesse sich keine persönliche Verfolgungssituation asylrelevanten Ausmasses herleiten. Sodann sei es den Beschwerdeführenden möglich und zumutbar gewesen, gegen die fehlbaren Beamten auf dem Rechtsweg vorzugehen. In Bosnien und Herzegowina existiere sodann eine medizinische Grundversorgung. Auch psychische Erkrankungen könnten behandelt werden. Es bestehe ein staatliches Krankenkassensystem, wobei die Gemeinden die Versicherungsbeträge von Sozialhilfeempfängern übernehmen würden. Für die Grund- und Notfallversorgung bestehe damit ein weitgehend kostenloser Gesundheitsschutz. Es vermöge daher nicht zu überzeugen, dass die Beschwerdeführerin in einer medizinischen Notsituation vom Spital abgewiesen worden sei. Sodann sei aus den Akten nicht ersichtlich, dass sie an einer in Bosnien und Herzegowina nicht behandelbaren Krankheit leide. Dass die Beschwerdeführenden Ruhe und Sicherheit suchen würden, sei zwar ein berechtigtes Anliegen, könne jedoch nicht unter Art. 3 AsylG subsumiert werden. Ähnliches gelte für die Probleme des Sohnes in der Vorschule. Schlussendlich handle es sich bei Bosnien und Herzegowina um einen verfolgungssicheren Staat. Den Beschwerdeführenden sei es nicht gelungen, die gesetzliche Regelvermutung der relativen Verfolgungssicherheit umzustossen.</w:t>
      </w:r>
    </w:p>
    <w:p>
      <w:r>
        <w:rPr>
          <w:b/>
        </w:rPr>
        <w:t>E. 4.2</w:t>
      </w:r>
    </w:p>
    <w:p>
      <w:r>
        <w:t>Übergriffe durch Dritte oder Befürchtungen, solchen ausgesetzt zu sein, sind nur asylrelevant, wenn der Staat seiner Schutzpflicht nicht nachkommen will oder nicht in der Lage ist, Schutz zu gewähren. Generell ist Schutz gewährleistet, wenn der Staat geeignete Massnahmen zur Verhinderung der Verfolgung trifft, namentlich durch wirksame Polizei- und Justizorgane zur Ermittlung, Strafverfolgung und Ahndung von Verfolgungshandlungen. Antragsteller müssen Zugang zu diesem Schutz haben. Der Bundesrat hat Bosnien und Herzegowina mit Beschluss vom 25. Juni 2003 als verfolgungssicheren Staat (safe country) im Sinne von Art. 6a Abs. 2 Bst. a AsylG bezeichnet, weshalb im Sinne einer Regelvermutung vom Schutzwillen und von der Schutzfähigkeit dieses Staates auszugehen ist.</w:t>
      </w:r>
    </w:p>
    <w:p>
      <w:r>
        <w:rPr>
          <w:b/>
        </w:rPr>
        <w:t>E. 4.3</w:t>
      </w:r>
    </w:p>
    <w:p>
      <w:r>
        <w:t>Der vorinstanzliche Schluss ist nicht zu beanstanden. In der angefochtenen Verfügung wird in nachvollziehbarer Weise dargelegt, weshalb die Beschwerdeführenden die Voraussetzungen zur Anerkennung als Flüchtling nicht erfüllen. Die Ausführungen auf Beschwerdeebene sind nicht geeignet, zu einer anderen Beurteilung zu gelangen. So legen die Beschwerdeführenden mit dem Wiederholen des aktenkundigen Sachverhalts nicht dar, inwiefern die Vorinstanz sie zu Unrecht nicht als Flüchtling anerkannt hat. Solches ist auch nicht ersichtlich. Um Wiederholungen zu vermeiden, kann vollumfänglich auf die zutreffenden Erwägungen in der angefochtenen Verfügung verwiesen werden.</w:t>
      </w:r>
    </w:p>
    <w:p>
      <w:r>
        <w:rPr>
          <w:b/>
        </w:rPr>
        <w:t>E. 4.4</w:t>
      </w:r>
    </w:p>
    <w:p>
      <w:r>
        <w:t>Das SEM hat demnach zu Recht die Flüchtlingseigenschaft der Beschwerdeführenden verneint und ihr Asylgesuch abgelehnt.</w:t>
      </w:r>
    </w:p>
    <w:p>
      <w:r>
        <w:rPr>
          <w:b/>
        </w:rPr>
        <w:t>E. 5</w:t>
      </w:r>
    </w:p>
    <w:p>
      <w:r>
        <w:t>Lehnt das SEM das Asylgesuch ab oder tritt es darauf nicht ein, so verfügt es in der Regel die Wegweisung aus der Schweiz und ordnet den Vollzug an; es berücksichtigt dabei den Grundsatz der Einheit der Familie (Art. 44 AsylG). Die Beschwerdeführenden verfügen weder über eine ausländerrechtliche Aufenthaltsbewilligung noch über einen Anspruch auf Erteilung einer solchen. Die Wegweisung wurde demnach zu Recht angeordnet (vgl. BVGE 2013/37 E. 4.4; 2009/50 E. 9, je m.w.H.).</w:t>
      </w:r>
    </w:p>
    <w:p>
      <w:r>
        <w:rPr>
          <w:b/>
        </w:rPr>
        <w:t>E. 6.1</w:t>
      </w:r>
    </w:p>
    <w:p>
      <w:r>
        <w:t>Ist der Vollzug der Wegweisung nicht zulässig, nicht zumutbar oder nicht möglich, so regelt das SEM das Anwesenheitsverhältnis nach den gesetzlichen Bestimmungen über die vorläufige Aufnahme (Art. 44 AsylG; Art. 83 Abs. 1 AIG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AIG). Die Vorinstanz wies in ihrer angefochtenen Verfügung zutreffend darauf hin, dass die Beschwerdeführenden die Flüchtlingseigenschaft nicht erfüllen weshalb auch der in Art. 5 AsylG verankerte Grundsatz der Nichtrückschiebung im vorliegenden Verfahren keine Anwendung findet. Sodann ergeben sich weder aus den Aussagen der Beschwerdeführenden noch aus den Akten Anhaltspunkte dafür, dass sie für den Fall einer Ausschaffung in den Heimatstaat dort mit beachtlicher Wahrscheinlichkeit einer nach Art. 3 EMRK oder Art. 1 des Übereinkommens vom 10. Dezember 1984 gegen Folter und andere grausame, unmenschliche oder erniedrigende Behandlung oder Strafe (nachfolgend: FoK, SR 0.105) verbotenen Strafe oder Behandlung ausgesetzt wären. Auch die allgemeine Menschenrechtssituation im Heimatstaat lässt den Wegweisungsvollzug zum heutigen Zeitpunkt klarerweise nicht als unzulässig erscheinen; Bosnien und Herzegowina ist vom Bundesrat als verfolgungssicherer Staat gemäss Art. 6a Abs. 2 AsylG bezeichnet worden. Nach dem Gesagten ist der Vollzug der Wegweisung sowohl im Sinne der asyl- als auch der völkerrechtlichen Bestimmungen zulässig.</w:t>
      </w:r>
    </w:p>
    <w:p>
      <w:r>
        <w:rPr>
          <w:b/>
        </w:rPr>
        <w:t>E. 6.3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Mit Beschluss vom 25. Oktober 2017 hat der Bundesrat Bosnien und Herzegowina per 1. Januar 2018 als Heimat- oder Herkunftsstaat bezeichnet, in den eine Rückkehr gemäss Art. 83 Abs. 5 AIG und Art. 18 VVWAL (SR 142.281) in der Regel zumutbar ist. Es gelingt den Beschwerdeführenden - auch in individueller Hinsicht - nicht, diese Regelvermutung umzustossen. Um Wiederholungen zu vermeiden kann - insbesondere betreffend die gesundheitlichen Probleme der Beschwerdeführerin - auf dievorinstanzlichen Erwägungen verwiesen werden. Nach dem Gesagten erweist sich der Vollzug der Wegweisung auch als zumutbar.</w:t>
      </w:r>
    </w:p>
    <w:p>
      <w:r>
        <w:rPr>
          <w:b/>
        </w:rPr>
        <w:t>E. 6.4</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6.5</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sind die Kosten den Beschwerde- 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