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D-1726/2025 vom 19. März 2025</w:t>
      </w:r>
    </w:p>
    <w:p>
      <w:r>
        <w:t>Bundesverwaltungsgericht, 2025-03-19, DE</w:t>
      </w:r>
    </w:p>
    <w:p>
      <w:r>
        <w:rPr>
          <w:b/>
        </w:rPr>
        <w:t xml:space="preserve">Quelle: </w:t>
      </w:r>
      <w:r>
        <w:t>https://mcp.opencaselaw.ch/entscheid/bvger_D-1726_2025</w:t>
      </w:r>
    </w:p>
    <w:p>
      <w:r>
        <w:t>FR: TAF D-1726/2025 du 19 mars 2025</w:t>
      </w:r>
    </w:p>
    <w:p>
      <w:r>
        <w:t>IT: TAF D-1726/2025 del 19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ist als Verfügungsadressatin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erforderlich, dass hinsichtlich des Vollzugs eine Rückübernahmezusicherung des Drittstaates vorliegt. Die tatsächliche Möglichkeit des Wegweisungsvollzugs (und nicht nur der Weiterreise oder Rückkehr)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Die Beschwerdeführerin rügt eine unvollständige Sachverhaltserstellung. Sie macht geltend, die Vorinstanz habe keine Übernahmezusicherung bei den italienischen Behörden eingeholt, obwohl sie dazu verpflichtet gewesen wäre. Die Zusicherung des entsprechenden Drittstaats zur Rückübernahme der betreffenden Person sei eine Voraussetzung für den Erlass eines Nichteintretensentscheides. Da die Vorinstanz dies versäumt habe, sei die Sache an die Vorinstanz zurückzuweisen.</w:t>
      </w:r>
    </w:p>
    <w:p>
      <w:r>
        <w:rPr>
          <w:b/>
        </w:rPr>
        <w:t>E. 6.2</w:t>
      </w:r>
    </w:p>
    <w:p>
      <w:r>
        <w:t>Die Vorinstanz ist in ihrem Entscheid gestützt auf Art. 31a Abs. 1 Bst. a AsylG nicht auf das Asylgesuch eingetreten und hat die Wegweisung nach Italien angeordnet. Sie hat sich diesbezüglich auf den Standpunkt gestellt, dass das Einholen einer solchen Rückübernahmezusicherung nicht nötig sei, da die Beschwerdeführerin über gültige Reisedokumente verfüge und in Italien als Flüchtling anerkannt worden sei, weshalb sie über einen Titel verfügen würde, der ihr die Rückkehr nach Italien erlaube.</w:t>
      </w:r>
    </w:p>
    <w:p>
      <w:r>
        <w:rPr>
          <w:b/>
        </w:rPr>
        <w:t>E. 6.3</w:t>
      </w:r>
    </w:p>
    <w:p>
      <w:r>
        <w:t>Diese Argumentation der Vorinstanz trifft jedoch ins Leere, da ein solcher Nichteintretensentscheid voraussetzt, dass der übernehmende Staat eine Rückübernahmezusicherung abgegeben hat. Vorliegend ist das SEM ohne die erforderliche Zusicherung der Rückübernahme der Beschwerdeführerin durch die zuständigen italienischen Behörden in Anwendung von Art. 31a Abs. 1 Bst. a AsylG auf das Asylgesuch nicht eingetreten. Der entscheidrelevante Sachverhalt im Hinblick auf die Frage, ob eine Überstellung nach Italien rechtmässig sei, ist demnach nicht rechtsgenüglich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Aufgrund der vorzunehmenden Anfrage zur Rückübernahme ist es angezeigt, die angefochtene Verfügung aufzuheben und die Sache zur vollständigen Sachverhaltsfeststellung (Einholen der erforderlichen Zusicherung der Rückübernahme der Beschwerdeführerin durch die zuständigen italienischen Behörden) sowie zu neuer Entscheidung an die Vorinstanz zurückzuweisen. Die Beschwerde ist somit gutzuheissen.</w:t>
      </w:r>
    </w:p>
    <w:p>
      <w:r>
        <w:rPr>
          <w:b/>
        </w:rPr>
        <w:t>E. 8</w:t>
      </w:r>
    </w:p>
    <w:p>
      <w:r>
        <w:t>Bei diesem Ausgang des Verfahrens sind keine Kosten zu erheben (Art. 63 Abs. 1 und 2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