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D-1726/2010 vom 6. März 2012</w:t>
      </w:r>
    </w:p>
    <w:p>
      <w:r>
        <w:t>Bundesverwaltungsgericht, 2012-03-06, DE</w:t>
      </w:r>
    </w:p>
    <w:p>
      <w:r>
        <w:rPr>
          <w:b/>
        </w:rPr>
        <w:t xml:space="preserve">Quelle: </w:t>
      </w:r>
      <w:r>
        <w:t>https://mcp.opencaselaw.ch/entscheid/bvger_D-1726_2010</w:t>
      </w:r>
    </w:p>
    <w:p>
      <w:r>
        <w:t>FR: TAF D-1726/2010 du 6 mars 2012</w:t>
      </w:r>
    </w:p>
    <w:p>
      <w:r>
        <w:t>IT: TAF D-1726/2010 del 6 marzo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Die Beschwerde richtet sich gemäss den Rechtsbegehren sowie der Begründung ausschliesslich gegen den Vollzug der von der Vorinstanz verfügten Wegweisung. Die Verfügung des BFM vom 17. Februar 2010 ist, soweit sie die Frage der Flüchtlingseigenschaft und der Asylgewährung betrifft (Ziff. 1 und 2 des Dispositivs der vorinstanzlichen Verfügung), in Rechtskraft erwachsen, und auch die Anordnung der Wegweisung (Ziff. 3 des Dispositivs) ist nicht mehr zu überprüfen (vgl. Entscheidungen und Mitteilungen der [vormaligen] Schweizerischen Asylrekurskommission [EMARK] 2001 Nr. 21). Gegenstand des vorliegenden Verfahrens bildet somit lediglich die Frage, ob das Bundesamt den Vollzug der Wegweisung zu Recht als zulässig, zumutbar und möglich erachtet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5.2</w:t>
      </w:r>
    </w:p>
    <w:p>
      <w:r>
        <w:t>Der Vollzug ist nicht möglich, wenn die Ausländerin oder der Ausländer weder in den Herkunfts- oder in den Heimatstaat noch in einen Drittstaat ausreisen oder dorthin gebracht werden kann (Art. 83 Abs. 2 AuG).</w:t>
      </w:r>
    </w:p>
    <w:p>
      <w:r>
        <w:rPr>
          <w:b/>
        </w:rPr>
        <w:t>E. 5.3</w:t>
      </w:r>
    </w:p>
    <w:p>
      <w:r>
        <w:t>Der Vollzug ist nicht zulässig, wenn völkerrechtliche Verpflichtungen der Schweiz einer Weiterreise der Ausländerin oder des Ausländers in den Heimat-, Herkunfts- oder in einen Drittstaat entgegenstehen (Art. 83 Abs. 3 AuG).</w:t>
      </w:r>
    </w:p>
    <w:p>
      <w:r>
        <w:rPr>
          <w:b/>
        </w:rPr>
        <w:t>E. 5.4</w:t>
      </w:r>
    </w:p>
    <w:p>
      <w:r>
        <w:t>Der Vollzug kann für Ausländerinnen oder Ausländer unzumutbar sein, wenn sie in Situationen wie Krieg, Bürgerkrieg, allgemeiner Gewalt und medizinischer Notlage im Heimat- oder Herkunftsstaat konkret gefährdet sind (Art. 83 Abs. 4 AuG).</w:t>
      </w:r>
    </w:p>
    <w:p>
      <w:r>
        <w:rPr>
          <w:b/>
        </w:rPr>
        <w:t>E. 6.1</w:t>
      </w:r>
    </w:p>
    <w:p>
      <w:r>
        <w:t>Die Vorinstanz führte zur Frage der Durchführbarkeit des Wegweisungsvollzugs aus, der Beschwerdeführer erfülle die Flüchtlingseigenschaft nicht, weshalb der Grundsatz der Nichtrückschiebung gemäss Art. 5 Abs. 1 AsylG nicht angewendet werden könne. Aus den Akten ergäben sich überdies auch keine Anhaltspunkte dafür, dass ihm bei einer Rückkehr ins Heimatland mit beachtlicher Wahrscheinlichkeit eine durch Art. 3 der Konvention vom 4. November 1950 zum Schutze der Menschenrechte und Grundfreiheiten (EMRK, SR 0.101) verbotene Strafe oder Behandlung drohe. Es sei anzunehmen, dass der Beschwerdeführer aus einer der drei von der kurdischen Regionalregierung kontrollierten nordirakischen Provinzen, namentlich Dohuk, stamme. Aufgrund der Sicherheits- und Menschenrechtslage herrsche in diesen Provinzen keine Situation allgemeiner Gewalt. Der Wegweisungsvollzug sei daher grundsätzlich zumutbar. Zudem sprächen im vorliegenden Fall auch keine individuellen Gründe gegen die Zumutbarkeit des Wegweisungsvollzugs. Beim Beschwerdeführer handle es sich um einen jungen gesunden Mann. Er verfüge im Irak gemäss eigenen Angaben auch in der Provinz Dohuk, zwei Onkel würden in I._______ leben, über Verwandte. Es stehe dem Beschwerdeführer auch frei, bei der kantonalen Rückkehrberatungsstelle individuelle Rückkehrhilfe zu beantragen. Der Vollzug der Wegweisung sei ausserdem technisch möglich und praktisch durchführbar.</w:t>
      </w:r>
    </w:p>
    <w:p>
      <w:r>
        <w:rPr>
          <w:b/>
        </w:rPr>
        <w:t>E. 6.2</w:t>
      </w:r>
    </w:p>
    <w:p>
      <w:r>
        <w:t>In der Beschwerde wird im Wesentlichen entgegnet, die eingereichte Identitätskarte des Beschwerdeführers bestätige, dass er in G._______ geboren sei. Wenn er gewisse Fragen zu G._______ nicht genau habe beantworten können, so hänge dies mit seinem jugendlichen Alter zusammen. Seine Familie sei nach dem Tod seines Bruders nach H._______ umgezogen. Zu diesem Zeitpunkt sei der Beschwerdeführer erst elf Jahre alt gewesen. Die gegenwärtige Situation erlaube ihm keine Rückkehr in seine Heimat, da seine nächsten Angehörigen selbst in grosser Gefahr lebten.</w:t>
      </w:r>
    </w:p>
    <w:p>
      <w:r>
        <w:rPr>
          <w:b/>
        </w:rPr>
        <w:t>E. 7.1</w:t>
      </w:r>
    </w:p>
    <w:p>
      <w:r>
        <w:t>In Bezug auf die Frage der Durchführbarkeit des Wegweisungsvollzugs in den Irak ist vorab festzustellen, dass gemäss Praxis des Bundesverwaltungsgerichts der Vollzug der Wegweisung von Personen, welche die Flüchtlingseigenschaft nicht erfüllen, zumindest in den kurdisch kontrollierten Nordirak (das heisst in die drei Provinzen Dohuk, Erbil und Suleimaniya) mit Blick auf die dort herrschende allgemeine Sicherheits- und Menschenrechtslage (vgl. dazu BVGE 2008/4, insbesondere E. 6.2 ff. und 6.6) in der Regel als zulässig erachtet wird. In einem anderen Grundsatzurteil (vgl. BVGE 2008/5) hat sich das Bundesverwaltungsgericht mit der Frage der Zumutbarkeit des Wegweisungsvollzugs in den kurdisch verwalteten Nordirak befasst, und ist dabei zum Schluss gelangt, dass in den drei genannten nordirakischen Provinzen keine Situation allgemeiner Gewalt herrscht und die politische Lage nicht dermassen angespannt ist, dass eine Rückführung dorthin generell als unzumutbar qualifiziert werden müsste. Die Bejahung der Zumutbarkeit des Wegweisungsvollzugs in den Nordirak setzt dem erwähnten Urteil zufolge jedoch in individueller Hinsicht voraus, dass die betroffene Person ursprünglich aus einer der drei nordirakischen Provinzen stammt oder zumindest während längerer Zeit dort gelebt hat und dort über ein soziales Netz oder über Beziehungen zu den herrschenden Parteien verfügt. Zurückhaltung ist geboten bei Personen, welche einer Risikogruppe angehören (namentlich Familien mit Kindern, alleinstehende Frauen ohne spezielle Berufsbildung, Kranke und Betagte, Kurden mit Herkunft ausserhalb der drei Provinzen Dohuk, Erbil und Suleimaniya, Nichtkurden aus dem Süd- und Zentralirak). Die Anordnung des Wegweisungsvollzugs ist nach der Rechtsprechung des Bundesverwaltungsgerichts demnach in der Regel zumutbar für alleinstehende, gesunde und junge kurdische Männer, welche ursprünglich aus einer der drei nordirakischen Provinzen stammen und dort nach wie vor über ein soziales Netz oder Parteibeziehungen verfügen.</w:t>
      </w:r>
    </w:p>
    <w:p>
      <w:r>
        <w:rPr>
          <w:b/>
        </w:rPr>
        <w:t>E. 7.2</w:t>
      </w:r>
    </w:p>
    <w:p>
      <w:r>
        <w:t>Grundsätzlich ist von Amtes wegen zu prüfen, ob der Vollzug der Wegweisung nicht zulässig, nicht zumutbar oder nicht möglich ist (Art. 44 Abs. 2 AsylG). Diese Untersuchungspflicht findet jedoch nach Treu und Glauben ihre Grenze an der Mitwirkungspflicht der Asylsuchenden (Art. 8 AsylG), welche im Übrigen auch die Substanziierungslast tragen (Art. 7 AsylG).</w:t>
      </w:r>
    </w:p>
    <w:p>
      <w:r>
        <w:rPr>
          <w:b/>
        </w:rPr>
        <w:t>E. 7.3</w:t>
      </w:r>
    </w:p>
    <w:p>
      <w:r>
        <w:t>Der Beschwerdeführer macht geltend, er stamme aus der Stadt G._______. Im Jahre 1998 sei er von dort mit seiner Familie nach H._______ gezogen, wo er bis zu seiner Ausreise gewohnt habe. Diese Vorbringen sind indessen aus den nachfolgend aufgeführten Gründen unglaubhaft: Zunächst ist festzustellen, dass die irakische Identitätskarte, welche der Beschwerdeführer zum Beleg seiner Herkunft aus G._______ einreichte und die vom BFM am 19. April 2010 einer internen Dokumentenanalyse unterzogen wurde, mehrere Fälschungsmerkmale aufweist. So wurde die Seriennummer nicht im zutreffenden Druckverfahren gedruckt und die Grössenverhältnisse der Zahlen stimmen nicht. Zudem stimmt die Darstellung (Vordruck) auf der Rückseite nicht mit dem neuen Modell der irakischen Identitätskarte überein. Überdies enthält der Nassstempel nicht den vollständigen Text in Arabisch. Der Beschwerdeführer hat die Verfügung des Bundesverwaltungsgerichts vom 28. April 2010 nicht entgegen genommen und damit darauf verzichtet, zum Ergebnis der Dokumentenanalyse Stellung zu nehmen beziehungsweise Elemente vorzutragen, die die dargelegten Fälschungsmerkmale entkräften. Aufgrund dieser Fälschungsmerkmale ist die vom Beschwerdeführer eingereichte Identitätskarte gestützt auf Art. 10 Abs. 4 AsylG einzuziehen. Um seine angebliche Herkunft aus G._______ zu untermauern beziehungsweise seinen behaupteten früheren Wohnsitz in H._______ nachzuweisen, reichte der Beschwerdeführer mit der Rechtsmittelschrift ein Bestätigungsschreiben seines Vaters sowie eine Wohnsitzbestätigung von zwei Zeugen ein. Diese Unterlagen sind indessen ebenfalls nicht geeignet, die geltend gemachte Herkunft des Beschwerdeführers aus G._______ respektive seinen vorgebrachten früheren Wohnsitz in H._______ glaubhaft zu machen, zumal keine Gewähr für die Echtheit dieser Schreiben besteht. Gegen die behauptete Herkunft des Beschwerdeführers aus G._______ spricht im Weiteren auch die Tatsache, dass er anlässlich der Anhörung zu Protokoll gab, sein Bruder sei vor seinem Tod in G._______ in ein Spital namens "Azadi" gebracht worden (Akten BFM A 15/18 F129 ff.). Nach Erkenntnissen des Bundesverwaltungsgerichts existiert in dieser Stadt kein Spital mit einem solchen Namen. Die Nennung eines Spitals namens "Azadi" deutet vielmehr auf eine Herkunft des Beschwerdeführers aus der Umgebung der Stadt Dohuk hin, da sich in dieser Stadt das "Azadi Teaching Hospital" befindet. Zudem ist festzustellen, dass der Beschwerdeführer die Frage, wo sich die Felder seines Vaters in G._______ befunden hätten, nur ausweichend beantwortet hat (A 15/18 F68), was die geltend gemachte Herkunft aus G._______ ebenfalls als unglaubhaft erscheinen lässt. Die Behauptung des Beschwerdeführers in der Rechtsmittelschrift, wonach er deswegen gewisse Fragen zu G._______ nicht genau habe beantworten können, da er diese Stadt bereits mit elf Jahren verlassen habe, vermag das Gericht nicht zu überzeugen. Hinsichtlich des vorgebrachten früheren Wohnsitzes in H._______ ist festzuhalten, dass der Beschwerdeführer anlässlich der Anhörung nicht in der Lage war anzugeben, wo in H._______ er gewohnt habe (A 15/18 S. 5), obwohl er sich während zehn Jahren dort aufgehalten haben will. Es ist davon auszugehen, dass er dazu im Stande gewesen wäre, hätte er tatsächlich während mehrerer Jahre in H._______ Wohnsitz gehabt. Auch die Aussage des Beschwerdeführers in der Anhörung, wonach der Ort H._______ zur Provinz G._______ gehöre (A 15/18 F26), lässt seine geltend gemachte Herkunft bezweifeln, weil H._______ sich in der Provinz J._______ befindet. Schliesslich ist darauf hinzuweisen, dass sich der Beschwerdeführer in den Befragungen widersprüchlich zum Zeitpunkt geäussert hat, an dem er von G._______ nach H._______ gezogen sein will. Mit Blick auf die vorstehenden Erwägungen ist festzustellen, dass es dem Beschwerdeführer nicht gelungen ist, seine angebliche Herkunft aus G._______ beziehungsweise seinen geltend gemachten früheren Wohnsitz in H._______ glaubhaft zu machen.</w:t>
      </w:r>
    </w:p>
    <w:p>
      <w:r>
        <w:rPr>
          <w:b/>
        </w:rPr>
        <w:t>E. 7.4</w:t>
      </w:r>
    </w:p>
    <w:p>
      <w:r>
        <w:t>Wie bereits erwähnt, ist es die Pflicht der asylsuchenden Person, im Rahmen des ihr Zumutbaren und Möglichen an der Feststellung des Sachverhalts mitzuwirken und ihre Aussagen zu substanziieren (vgl. Art. 7 und 8 AsylG). Diesen Verpflichtungen ist der Beschwerdeführer vorliegend nicht nachgekommen. Aufgrund der Aktenlage liegt vielmehr die Vermutung nahe, dass er versucht hat, die Behörden durch Abgabe einer gefälschten Identitätskarte vorsätzlich über seine Herkunft zu täuschen. Bei zweifelhafter Identität oder Herkunft der asylsuchenden Person ist es nicht Sache der Behörden, nach allfälligen (hypothetischen) Wegweisungshindernissen zu forschen (vgl. dazu EMARK 2005 Nr. 1 E. 3.2.2.). Der Beschwerdeführer hat daher die Folgen seiner mangelhaften Mitwirkung respektive Verheimlichung seiner wahren Identität und Herkunft zu tragen, indem vermutungsweise davon auszugehen ist, es lägen keine Wegweisungsvollzugshindernisse im Sinne von Art. 83 Abs. 2-4 AuG vor. Unter diesen Umständen ist der Vollzug der Wegweisung des gemäss den Akten jungen, gesunden und alleinstehenden kurdischen Beschwerdeführers in sein Heimatland als zulässig, zumutbar und möglich zu bezeichnen.</w:t>
      </w:r>
    </w:p>
    <w:p>
      <w:r>
        <w:rPr>
          <w:b/>
        </w:rPr>
        <w:t>E. 7.5</w:t>
      </w:r>
    </w:p>
    <w:p>
      <w:r>
        <w:t>Nach dem Gesagten ist der von der Vorinstanz angeordnete Wegweisungsvollzug zu bestätigen; eine Anordnung der vorläufigen Aufnahme fällt vorliegend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dem Beschwerdeführer aufzuerlegen (Art. 63 Abs. 1 und 5 VwVG, Art. 1-3 des Reglements vom 21. Februar 2008 über die Kosten und Entschädigungen vor dem Bundesverwaltungsgericht [VGKE, SR 173.320.2]). Angesichts der Einreichung einer gefälschten Identitätskarte erweist sich die vorliegende Beschwerdeerhebung als mutwillige Prozessführung. In Anwendung von Art. 2 Abs. 2 VGKE werden die Verfahrenskosten daher erhöht und demnach auf Fr. 1200.- festgesetzt. Der Betrag ist mit dem am 31. März 2010 geleisteten Kostenvorschuss in der Höhe von Fr. 600.- zu verrechnen, womit ein Betrag von Fr. 600.- zur Nachzahlung verbleibt.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