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D-1725/2024 vom 23. April 2024</w:t>
      </w:r>
    </w:p>
    <w:p>
      <w:r>
        <w:t>Bundesverwaltungsgericht, 2024-04-23, DE</w:t>
      </w:r>
    </w:p>
    <w:p>
      <w:r>
        <w:rPr>
          <w:b/>
        </w:rPr>
        <w:t xml:space="preserve">Quelle: </w:t>
      </w:r>
      <w:r>
        <w:t>https://mcp.opencaselaw.ch/entscheid/bvger_D-1725_2024</w:t>
      </w:r>
    </w:p>
    <w:p>
      <w:r>
        <w:t>FR: TAF D-1725/2024 du 23 avril 2024</w:t>
      </w:r>
    </w:p>
    <w:p>
      <w:r>
        <w:t>IT: TAF D-1725/2024 del 23 aprile 2024</w:t>
      </w:r>
    </w:p>
    <w:p>
      <w:pPr>
        <w:pStyle w:val="Heading2"/>
      </w:pPr>
      <w:r>
        <w:t>Regeste</w:t>
      </w:r>
    </w:p>
    <w:p>
      <w:r>
        <w:t>Asyl und Wegweisung</w:t>
      </w:r>
    </w:p>
    <w:p>
      <w:pPr>
        <w:pStyle w:val="Heading2"/>
      </w:pPr>
      <w:r>
        <w:t>Erwägungen</w:t>
      </w:r>
    </w:p>
    <w:p>
      <w:r>
        <w:rPr>
          <w:b/>
        </w:rPr>
        <w:t>E. 8</w:t>
      </w:r>
    </w:p>
    <w:p>
      <w:r>
        <w:t>März 2022 E. 7, E-3000/2021 vom 15. September 2021 E. 5.2), dass, nachdem sich der Beschwerdeführer seinen Angaben nach nicht an die heimatlichen Behörden gewandt und stattdessen Bekannte und Freunde um seinen Schutz bemüht habe (vgl. 18/16 F91), auch im konkre- ten Fall nichts auf einen fehlenden Schutzwillen beziehungsweise eine feh- lende Schutzfähigkeit der türkischen Behörden hindeutet, dass der Beschwerdeführer auch kein politisches Profil aufweist, zumal er aktuell in keiner politischen Partei aktiv ist (vgl. A18/16 F85), dass das Vorbringen des Beschwerdeführers, aufgrund seiner politischen Einstellung sei es in den späten 90er Jahren respektive Anfang der 2000er Jahre zu mehreren Razzien gekommen und er sei in der Gemeinde denun- ziert worden (vgl. A18/16 F56), mangels Aktualität ebenfalls keine flücht- lingsrechtliche Relevanz entfaltet,</w:t>
      </w:r>
    </w:p>
    <w:p>
      <w:r>
        <w:t>D-1725/2024 Seite 6 dass die im erstinstanzlichen Verfahren zu den Akten gereichten Beweis- mittel mangels Fälschungssicherheit kaum Beweiswert aufweisen, zumal allgemein bekannt ist, dass solche Dokumente in der Türkei leicht käuflich erwerbbar sind, dass der auf Beschwerdeebene eingereichte Screenshot keinerlei Bezug zum Beschwerdeführer erkennen lässt und dazu auch keine Ausführungen in der Rechtsmitteleingabe gemacht werden, dass auch die auf Beschwerdeebene pauschal geltend gemachten Diskri- minierungen des Beschwerdeführers in der Türkei mangels Intensität nicht über die Nachteile hinaus gehen, die weite Teile der kurdischen Bevölke- rung treffen könnten, womit sie mangels Gezieltheit nicht als im Sinne des Gesetzes ernsthaft zu qualifizieren und damit flüchtlingsrechtlich nicht re- levant sind, dass es dem Beschwerdeführer somit nicht gelingt, die Flüchtlingseigen- schaft nachzuweisen oder zumindest glaubhaft zu machen,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dass allfällige Wegweisungsvollzugshindernisse zu beweisen sind, wenn der strikte Be- weis möglich ist, und sie andernfalls wenigstens glaubhaft zu machen sind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w:t>
      </w:r>
    </w:p>
    <w:p>
      <w:r>
        <w:t>D-1725/2024 Seite 7 Art. 33 Abs. 1 FK [SR 0.142.30]) und auch keine konkreten Anhaltspunkte für eine in der Heimat drohende menschenrechtswidrige Behandlung (im Sinne von Art. 3 EMRK) ersichtlich sind, dass gemäss konstanter Praxis des Bundesverwaltungsgerichts in der Tür- kei nicht von einer Situation allgemeiner Gewalt oder bürgerkriegsähnlichen Verhältnissen – auch nicht für Angehörige der kurdischen Ethnie – auszu- gehen ist (vgl. Urteil des BVGer D-7194/2023 vom 3. April 2024 E. 8.3.2.1 m.w.H.), dass der gesunde Beschwerdeführer mittleren Alters im Heimatstaat über eine Immobilie, ein grosses familiäres Beziehungsnetz (unter anderem seine Ehefrau und die gemeinsamen Kinder) sowie vielseitige Berufserfah- rung verfügt (vgl. A18/16 F11, F13, F21, F23, F25 und F29 ff.), weshalb davon auszugehen ist, dass er sich in der Türkei sowohl beruflich als auch sozial schnell wieder wird integrieren können,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 führer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w:t>
      </w:r>
    </w:p>
    <w:p>
      <w:r>
        <w:t>(Dispositiv nächste Seite)</w:t>
      </w:r>
    </w:p>
    <w:p>
      <w:r>
        <w:t>D-1725/2024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