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D-1725/2010 vom 31. Mai 2010</w:t>
      </w:r>
    </w:p>
    <w:p>
      <w:r>
        <w:t>Bundesverwaltungsgericht, 2010-05-31, DE</w:t>
      </w:r>
    </w:p>
    <w:p>
      <w:r>
        <w:rPr>
          <w:b/>
        </w:rPr>
        <w:t xml:space="preserve">Quelle: </w:t>
      </w:r>
      <w:r>
        <w:t>https://mcp.opencaselaw.ch/entscheid/bvger_D-1725_2010</w:t>
      </w:r>
    </w:p>
    <w:p>
      <w:r>
        <w:t>FR: TAF D-1725/2010 du 31 mai 2010</w:t>
      </w:r>
    </w:p>
    <w:p>
      <w:r>
        <w:t>IT: TAF D-1725/2010 del 31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17. März 2010 sind nicht geeignet, eine Änderung der vorinstanzlichen Verfügung zu bewirken. Der Argumentation des BFM werden keine stichhaltigen und substanziierten Gründe entgegengesetzt. Eine diesbezügliche Auseinandersetzung unterbleibt zwar nicht grundsätzlich. Die Ausführungen des Beschwerdeführers vermögen jedoch die substanziiert vorgebrachten und einwandfrei nachvollziehbaren Erwägungen des BFM nicht umzustossen. Weder besteht für das Bundesverwaltungsgericht - entgegen den anderslautenden Ausführungen des Beschwerdeführers - Veranlassung, an der Richtigkeit der Abklärungen der Schweizerischen Botschaft in Ankara zu zweifeln, noch nach Überprüfung der Akten die Erwägungen des BFM zu beanstanden. Um Wiederholungen zu vermeiden, kann daher auf die diesbezüglich zutreffenden Ausführungen in der angefochtenen Verfügung verwiesen werden. Ausserdem wurde bereits in der Zwischenverfügung vom 23. März 2010 ausführlich dargelegt und zusammenfassend festgehalten, dass die Erwägungen der Vorinstanz zu bestätigen und durch die Ausführungen in der Beschwerdeschrift nicht zu entkräften sein dürften. Es ist somit davon auszugehen, dass kein Datenblatt über den unbescholtenen Beschwerdeführer existiert, er keinem Passverbot unterliegt und auch nicht gesucht wird. In Übereinstimmung mit der Vorinstanz ist somit das Bestehen von Vorfluchtgründen zu verneinen.</w:t>
      </w:r>
    </w:p>
    <w:p>
      <w:r>
        <w:rPr>
          <w:b/>
        </w:rPr>
        <w:t>E. 5.2</w:t>
      </w:r>
    </w:p>
    <w:p>
      <w:r>
        <w:t>Der Beschwerdeführer machte geltend, nach seiner Einreise in die Schweiz habe er sich exilpolitisch betätig. Er sei Mitglied (...) eines Kulturvereins, welcher der MLKP nahestehe, Mitorganisator diverser Veranstaltungen und Sänger in einer Gruppe, die prokurdische Lieder singe. Am 21. Juni 2009 sei er an einem von ihm organisierten Fest und Konzertanlass aufgetreten, und habe kurdische Lieder gesungen. Ausserdem sei er am 20. März 2009 auf dem Marktplatz in C._______ aufgetreten, wo eine prokurdische Demonstration anlässlich der kurdischen Neujahrsfeier "Newroz" stattgefunden habe. Bei einem Protestmarsch im Sommer 2009 von F._______ bis C._______ zum Gedenken an die kurdischen Märtyrer sei er drei bis vier Stunden auf dem (...) in C._______ aufgetreten. Ein weiterer Auftritt habe am 16. Januar 2010 an einem Musikfest der PKK-Jugendgruppe in C._______ stattgefunden. Für weitere Einzelheiten wird auf die zu den Akten gegebenen Beweismittel verwiesen, soweit diese in Zusammenhang mit den geltend gemachten Nachfluchtgründen stehen.</w:t>
      </w:r>
    </w:p>
    <w:p>
      <w:r>
        <w:rPr>
          <w:b/>
        </w:rPr>
        <w:t>E. 5.2.1</w:t>
      </w:r>
    </w:p>
    <w:p>
      <w:r>
        <w:t>Wer sich darauf beruft, dass durch sein Verhalten nach der Ausreise aus dem Heimat- oder Herkunftsstaat - so auch durch politische Exilaktivitäten - eine Gefährdungssituation erst geschaffen worden sei, macht subjektive Nachfluchtgründe geltend (Art. 54 AsylG).</w:t>
      </w:r>
    </w:p>
    <w:p>
      <w:r>
        <w:rPr>
          <w:b/>
        </w:rPr>
        <w:t>E. 5.2.2</w:t>
      </w:r>
    </w:p>
    <w:p>
      <w:r>
        <w:t>Gemäss den Vorbringen in der Rechtsmitteleingabe ist der Beschwerdeführer Mitglied (...) [eines] der MLKP nahestehenden Kulturverein. Ausserdem hat er für den Verein (...), welcher der PKK (Partiya Karkerên Kurdistan/ Kurdische Arbeiterpartei) nahesteht, an verschiedenen Vereinsanlässen mitgewirkt und zusammen mit anderen Musikern auf der Bühne prokurdische Lieder gesungen. Nach eigenen Aussagen hat der Beschwerdeführer einige Monate nach seiner Einreise in die Schweiz den Koordinator dieses Vereins kennengelernt (...), welcher ihn diesbezüglich angefragt habe. Seinen weiteren Angaben zufolge ist er am 20. März 2009 auf dem (...) in C._______ anlässlich einer prokurdischen Demonstration und im Sommer 2009 auf dem (...) in C._______ im Anschluss an einen Protestmarsch von F._______ nach C._______ aufgetreten. Sein Auftritt vom 16. Januar 2010 an einem Musikfest der PKK-Jugendgruppe in C._______ wird mit verschiedenen Fotos belegt. Auch aus der mit Eingabe vom 6. April 2010 ins Recht gelegten Bestätigung des [Kulturvereins] vom 29. März 2010 geht hervor, dass der Beschwerdeführer an mehreren Veranstaltungen des Kulturzentrums als Musiker teilgenommen hat.</w:t>
      </w:r>
    </w:p>
    <w:p>
      <w:r>
        <w:rPr>
          <w:b/>
        </w:rPr>
        <w:t>E. 5.2.3</w:t>
      </w:r>
    </w:p>
    <w:p>
      <w:r>
        <w:t>In genereller Hinsicht ist zunächst darauf hinzuweisen, dass nach konstanter Praxis der Schweizer Asylbehörden bei türkischen Asylsuchenden das blosse Einreichen eines Asylgesuches keinen subjektiven Nachfluchtgrund im Sinne von Art. 54 AsylG darstellt. Die blosse Teilnahme an kulturellen Anlässen und Organisation derselben wird entgegen der vom Beschwerdeführer geäusserten Ansicht einer politischen Tätigkeit nicht gleichgestellt und führt nicht zwingend zu einer konkreten Gefährdung. Angesichts zahlreicher regimekritischer Aktivitäten von türkischen Staatsangehörigen in ganz Westeuropa erscheint es somit unwahrscheinlich, dass die heimatlichen Behörden von den Tätigkeiten des Beschwerdeführers soweit Kenntnis genommen haben, dass er bei einer Rückkehr in die Türkei deswegen verfolgt würde. Der Beschwerdeführer macht nicht geltend, sich in der Schweiz in einer hohen und in der Öffentlichkeit exponierten politischen Kaderstelle einer linksextremen türkischen Organisation oder kurdischen Separatistenorganisation zu engagieren beziehungsweise sich namentlich identifizierbar für die Ziele solcher Organisationen medienmässig politisch aktiv betätigt zu haben, weshalb es unwahrscheinlich ist, dass die türkischen Behörden von den Exilaktivitäten des Beschwerdeführers überhaupt Notiz genommen haben. Unter diesen Umständen ist es nicht nachvollziehbar, auf welchem Weg die türkischen Behörden den Beschwerdeführer bei einer Rückkehr in sein Heimatland als Oppositionellen ansehen könnten. Somit liegt auch kein subjektiver Nachfluchtgrund im Sinne von Art. 54 AsylG vor</w:t>
      </w:r>
    </w:p>
    <w:p>
      <w:r>
        <w:rPr>
          <w:b/>
        </w:rPr>
        <w:t>E. 5.3</w:t>
      </w:r>
    </w:p>
    <w:p>
      <w:r>
        <w:t>Bei dieser Sachlage hat die Vorinstanz zu Recht das Asylgesuch des Beschwerdeführers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Weder die politische noch die humanitäre Lage in der Türkei sprechen gegen die Zumutbarkeit des Wegweisungsvollzugs. Der Beschwerdeführer hat im Jahre 2007 in D._______ ein Wirtschaftsstudium mit Schwerpunkt Finanzen begonnen (vgl. A10 / F12-F14). Auch verfügt er in seiner Heimat seinen Aussagen zufolge über ein ausgedehntes familiäres Beziehungsnetz in B._______ und G._______ (vgl. A10 / F16), welches ihm bei einer Reintegration, soweit erforderlich, behilflich sein kann. An dieser Stelle kann insbesondere auf seinen noch immer in der Türkei lebenden Vater verwiesen werden.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7. April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