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D-1723/2010 vom 30. Mai 2011</w:t>
      </w:r>
    </w:p>
    <w:p>
      <w:r>
        <w:t>Bundesverwaltungsgericht, 2011-05-30, DE</w:t>
      </w:r>
    </w:p>
    <w:p>
      <w:r>
        <w:rPr>
          <w:b/>
        </w:rPr>
        <w:t xml:space="preserve">Quelle: </w:t>
      </w:r>
      <w:r>
        <w:t>https://mcp.opencaselaw.ch/entscheid/bvger_D-1723_2010</w:t>
      </w:r>
    </w:p>
    <w:p>
      <w:r>
        <w:t>FR: TAF D-1723/2010 du 30 mai 2011</w:t>
      </w:r>
    </w:p>
    <w:p>
      <w:r>
        <w:t>IT: TAF D-1723/2010 del 30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er habe im Falle der Rückkehr in die Türkei begründete Furcht vor ernsthaften Nachteilen. Dies erscheint in Anbetracht der vom BFM zu Recht festgehaltenen Unglaubhaftigkeit zent­raler Vorbringen jedoch nicht als wahrscheinlich. Die Vorin­stanz äussert im angefochtenen Entscheid implizit auch Zweifel daran, dass der Beschwerdeführer sich während des geltend gemachten Zeitraums überhaupt im Heimatland aufhielt. Dass er Anfang 2004 tatsäch­lich in die Türkei ausgeschafft wurde, dürfte im Sinne der Beschwer­devorbringen zwar zutreffen. Er war aber nicht in der Lage, den in der Folge fast fünfjährigen dortigen Aufenthalt angemessen zu substanzi­ieren, und die Behauptung, über keine feste Adresse verfügt zu ha­ben, wirkt stereotyp. Dies nicht zuletzt auch deshalb, weil er die angebli­che Fest­nahme bei der Wiedereinreise, bei welcher ihm gemäss Be­schwerdevorbringen Auflagen für den weiteren Aufenthalt gemacht wor­den sein sollen, nicht übereinstimmend zu Protokoll gab. So legte er bei der Summarbefragung vorerst dar, bei besagter Festnahme seien keine bestimmten Vorwürfe erhoben worden. Wenig später brachte er in­des vor, sie hätten ihn eigentlich vor ein DGM bringen respektive der Staats­anwaltschaft vorführen wollen, was er mit Bestechungsgeld verhin­dert habe (B 1/11 S. 6 f.). Abgesehen davon, dass eine Verfahrenseinleitung kaum ohne konkrete Vorwürfe erfolgt wäre, mutet auch die angebliche Bestechung rea­litätsfremd an. Wären die Behörden tatsächlich davon ausgegangen, er verfüge allenfalls über ein oppositionelles Profil verbunden mit Kontak­ten zu PKK-Kreisen, hätten sie ihn - wie das BFM zu Recht festhält - nicht nach wenigen Tagen ohne Verfahrenseinleitung gegen Bestechung freigelassen. Die Erklärung in der Beschwerde, Gefängnisangestellte in der Türkei seien generell schlecht bezahlt, weshalb die kurdische Kontakt­person in Anbetracht zusätzlicher Ausgaben wegen des bevorste­henden Opferfestes einem finanziellen Zuschuss nicht abgeneigt gewe­sen sei, wirkt demgegenüber konstruiert. Im Weiteren erscheint nicht als ausgeschlossen, dass der Beschwerdeführer während des Aufenthalts in Deutschland mit PKK-nahen Kulturvereinen in Kontakt stand. Die angebli­che eigentliche Mitgliedschaft bei der PKK, welche offenbar bis 2003 gedau­ert haben soll, erwähnte er indes erst bei der zweiten Befragung und überdies in zeitlicher Hinsicht in ungereimter Form (B 22 /11 Antwort 52: "wenn jetzt herauskommt, dass ich PKK-Mitglied bin"; demgegenüber Antwort 54 f.: "war Mitglied lediglich bis 2003"). Unbesehen dieser nicht über­zeugenden Angaben führte er bereits bei der Erstbefragung aus, in der Türkei bestehe kein Gerichtsverfahren gegen ihn (B 1/11 S. 6). Sein politisches Engagement kann sodann - soweit überhaupt glaubhaft - in keiner Weise als markant bezeichnet werden, gab er doch unter ande­rem an, sich in der Türkei nicht als Mitglied der von ihm unterstützten DTP angeschlossen zu haben (B 1/11 S. 6; B 22/11 Antworten 22 ff. und 40 f.). Vor diesem Hintergrund erscheinen behördliche Massnahmen ge­gen den Beschwerdeführer aus politischen Gründen auch in Zukunft nicht als konkret drohend. Seine Befürchtungen erscheinen denn auch wieder­holt stereotyp und lassen Realkennzeichen vermissen (vgl. u.a. B 22/11 Antworten 31 ff. und 48). Auch betreffend die angeblichen Nachfragen der Behörden bei seinen Eltern machte er eher vage und ausweichende Schilde­rungen (B 22/11 Antworten 36 ff.). Anzufügen ist in diesem Zusam­menhang, dass Nachfragen der Behörden wegen des allfällig versäumten Militärdienstes grundsätzlich ohnehin keine Asylrelevanz zukäme. Schliess­lich trifft zu, dass das BFM in der Vernehmlassung im Zusammenhang mit dem Arztbericht vom 18. Dezember 2009 nicht die psychiatrische Fach­kraft, von welcher er stammt, sondern offenbar irrtümlich den Namen des Ad­ressaten zitiert. Die Vorinstanz stützt sich aber offensichtlich auf den vor­liegenden Bericht vom 18. Dezember 2009 und hält fest, ärztliche Anam­nesen, welche ungeprüft die Aussagen der Patienten wiedergäben, seien kaum geeignet, Unglaubhaftigkeitselemente in den Asylvorbringen der Betroffenen zu beseitigen beziehungsweise die Vorbringen als glaub­haft erscheinen zu lassen. Entgegen den nicht stichhaltigen Beschwerdevor­bringen vermag die­se praxiskonforme Einschätzung vollum­fänglich zu überzeugen.</w:t>
      </w:r>
    </w:p>
    <w:p>
      <w:r>
        <w:rPr>
          <w:b/>
        </w:rPr>
        <w:t>E. 4.2</w:t>
      </w:r>
    </w:p>
    <w:p>
      <w:r>
        <w:t>Unter Berücksichtigung der gesamten Umstände folgt, dass der Be­schwerdeführer keine Gründe nach Art. 3 AsylG nachweisen oder glaub­haft machen konnte. Die Vorinstanz hat die Flüchtlingseigen­schaft dem­nach zu Recht verneint und das Asylgesuch abgelehnt. An dieser Einschät­zung vermögen weder die weiteren Ausführungen in der Eingabe noch die beigelegten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Gattin des Beschwerdeführers ist zwar deutsche Staatsangehö­rige. Die Heirat erfolgte im Oktober 2009 in _______. Aufgrund der Akten hat sie aber in der Schweiz keinen Wohnsitz. Grundsätzlich kommt so ge­stützt auf das Ab­kom­men vom 21. Juni 1999 zwischen der Schwei­ze­ri­schen Eidgenos­sen­schaft einerseits und der Europäischen Ge­meinschaft und ihren Mit­gliedstaaten andererseits über die Frei­zü­gig­keit (FZA, SR 0.142.112.681) ein Anspruch des Beschwerdeführers auf eine Auf­ent­haltsbewilligung in der Schweiz nicht in Betracht.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obenstehenden Ausführungen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Der Beschwerdeführer stammt aus der Provinz _______, wo er über ein sozia­les Netz verfügt. Er hat Kenntnisse mehrerer Sprachen und Arbeitser­fahrung. Aus den Akten geht zwar hervor, dass er wegen physi­scher und psychischer Beschwerden in der Schweiz in Behandlung war. Im Bericht vom 18. Dezember 2009 wird der hochgradige Verdacht auf eine posttraumatische Belastungsstörung geäussert. Bei der somatischen Anamnese werden diverse Leiden aufgeführt (vgl. S. 3 des Berichts). Be­sagte Erkrankungen erscheinen indes - soweit überhaupt noch ein Be­darf besteht - als grundsätzlich auch in der Türkei therapierbar. Insge­samt ist mithin nicht davon auszugehen, dass der Beschwerdeführer nach seiner Rückkehr in die Türkei in eine existenzgefährdende Situation ge­rät.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Da das Gesuch im Sinne von Art. 65 Abs. 1 VwVG mit Zwischenverfügung vom 24. März 2010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