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D-1721/2020 vom 15. September 2020</w:t>
      </w:r>
    </w:p>
    <w:p>
      <w:r>
        <w:t>Bundesverwaltungsgericht, 2020-09-15, DE</w:t>
      </w:r>
    </w:p>
    <w:p>
      <w:r>
        <w:rPr>
          <w:b/>
        </w:rPr>
        <w:t xml:space="preserve">Quelle: </w:t>
      </w:r>
      <w:r>
        <w:t>https://mcp.opencaselaw.ch/entscheid/bvger_D-1721_2020</w:t>
      </w:r>
    </w:p>
    <w:p>
      <w:r>
        <w:t>FR: TAF D-1721/2020 du 15 septembre 2020</w:t>
      </w:r>
    </w:p>
    <w:p>
      <w:r>
        <w:t>IT: TAF D-1721/2020 del 15 settembre 2020</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37 VGG i.V.m. Art. 48 VwVG). Für das vorliegende Verfahren gilt das bisherige Recht (vgl. Abs. 1 der Übergangsbestimmungen zur Änderung des AsylG vom 25. September 2015). Auf die frist- und formgerecht eingereichte Beschwerde ist einzutreten (Art. 108 Abs. 1 AsylG und Art. 37 VGG i.V.m. Art. 52 Abs. 1 VwVG).</w:t>
      </w:r>
    </w:p>
    <w:p>
      <w:r>
        <w:rPr>
          <w:b/>
        </w:rPr>
        <w:t>E. 2</w:t>
      </w:r>
    </w:p>
    <w:p>
      <w:r>
        <w:t>2.1 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Über offensichtlich unbegründete Beschwerden wird in einzelrichterlicher Zuständigkeit mit Zustimmung einer zweiten Richterin entschieden (Art. 111 Bst. e AsylG). Wie nachstehend aufgezeigt, handelt es sich um eine solche, weshalb das Urteil nur summarisch zu begründen ist (Art. 111a Abs. 2 AsylG).</w:t>
      </w:r>
    </w:p>
    <w:p>
      <w:r>
        <w:rPr>
          <w:b/>
        </w:rPr>
        <w:t>E. 2.3</w:t>
      </w:r>
    </w:p>
    <w:p>
      <w:r>
        <w:t>Gestützt auf Art. 111a Abs. 1 AsylG wurde auf einen Schriftenwechsel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 Den frauenspezifischen Fluchtgründen ist Rechnung zu tragen.</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vorbringt, eine flüchtlingsrelevante Bedrohungslage durch die Ausreise selber oder mit nachträglichen Aktivitäten erst geschaffen zu haben, macht subjektive Nachfluchtgründe im Sinne von Art. 54 AsylG geltend, welche zwar zur Anerkennung der Flüchtlingseigenschaft aber zum Ausschluss des Asyls führen.</w:t>
      </w:r>
    </w:p>
    <w:p>
      <w:r>
        <w:rPr>
          <w:b/>
        </w:rPr>
        <w:t>E. 4</w:t>
      </w:r>
    </w:p>
    <w:p>
      <w:r>
        <w:t>4.1 Entgegen der in der Beschwerde erhobenen Rüge hat sich das SEM im vorliegenden Fall keine unrichtige Anwendung der Beweisregel von Art. 7 AsylG vorzuwerfen. Wie in der angefochtenen Verfügung mit umfassender Begründung zutreffend erläutert wird, halten die Vorbringen der Beschwerdeführerin in den wesentlichen Punkten den Anforderungen an das reduzierte Beweismass des Glaubhaftmachens nicht stand. So stehen die geltend gemachte Ehe und das zweijährige Zusammenleben mit einem (...) in der Türkei, die geltend gemachten Folgeprobleme (Drohungen, Behelligungen, Folter) mit ihrem (Ex-) Ehemann C._______. erst ausgelöst haben sollen, sowie ihre durch Falschaussagen (Bezichtigung des Diebstahls) seitens C._______. herbeigeführte neunmonatige Inhaftierung in einem iranischen Gefängnis im Zentrum ihres Asylgesuchs. Diese Vorkommnisse wurden in der BzP von der Beschwerdeführerin indes nicht ansatzweise erwähnt und sind folglich - in Übereinstimmung mit den vorinstanzlichen Erwägungen - als nachgeschoben und mithin unglaubhaft zu erachten (vgl. EMARK 1993/3 E. 3 S. 13). Im Weiteren enthalten die Asylvorbringen der Beschwerdeführerin einige nicht unerhebliche Widersprüche. Beispielhaft hierzu aufzuführen sind ihre Aussagen zu ihrer Ehe mit E._______ und den sich daraus angeblich ergebenden (weiteren) Behelligungen durch C._______. Im Gegensatz zu ihren Aussagen in der BzP, dass sie ihre letzte Ehe mit E._______ nur zum Schutz vor C._______ eingegangen sei, er sie indes aufgespürt, bedroht und zur Scheidung gezwungen habe (vgl. act. A7, Ziff. 7.01), gab sie in der Anhörung an, C._______. habe nicht sie, sondern ihren vierten Ehemann E._______ unter Druck gesetzt, worauf dieser ihr die Ausstellung eines Reisepasses verwehrt habe und sich aus Angst vor C._______. letztlich gegen ihren Willen von ihr getrennt habe (vgl. act. A15, F18). Gleichermassen widersprüchlich äusserte sich die Beschwerdeführerin zu den Umständen ihrer Konversion. In der BzP gab sie zu Protokoll, sie habe aufgrund ihrer Misshandlungen durch C._______. zum christlichen Glauben gefunden (vgl. act. A7, Ziff. 7.01), während sie in der Anhörung im Unterschied hierzu erklärte, sie sei während der Verbüssung ihrer Gefängnisstrafe zum Christentum konvertiert, nachdem sie sich am schlechten Verhalten der muslimischen Gefängniswärter gestossen habe (vgl. act. A15, F125). Das Argument der Beschwerdeführerin in der Rechtsmitteleingabe (vgl. daselbst, S. 6 unten), dass sie wegen entsprechender Beeinflussung und Ratschläge Dritter in den Befragungen unvollständige und teils unrichtige Angaben gemacht habe, kann spätestens ab den einleitenden Bemerkungen in der BzP (Hinweis auf Mitwirkungs- und Wahrheitspflicht der Beschwerdeführerin sowie Verschwiegenheitspflicht der Asylbehörden) nicht mehr beansprucht werden und vermag somit die aufgezeigten Ungereimtheiten nicht zu entkräften. Im Weiteren vermag auch der Hinweis in der Beschwerde auf die angebliche Traumatisierung der Beschwerdeführerin (vgl. Beschwerde, S. 6 f.) die von der Vorinstanz zutreffend aufgeführten Unglaubhaftigkeitselemente in ihren Vorbringen nicht plausibel zu erklären, zumal sich aus den Befragungsprotokollen keine konkreten Hinweise darauf ergeben, dass die Urteilsfähigkeit der Beschwerdeführerin anlässlich der Befragung derart eingeschränkt gewesen wäre, dass ihre Prozessfähigkeit in Frage hätte gestellt werden müssen. Schliesslich kommt den von der Beschwerdeführerin auf Beschwerdeebene eingereichten Dokumenten zu ihren Eheschliessungen im Iran (vgl. Bst. C. vorstehend) ein lediglich geringer Beweiswert zu, da sie keine Sicherheitsmerkmale aufweisen und sich ihre Authentizität nicht überprüfen lässt. Das SEM hat im Ergebnis somit hinreichend und nachvollziehbar sowie zutreffend begründet, dass sich aufgrund des gesamten Aussageverhaltens der Beschwerdeführerin das ausgeprägte Bild einer konstruierten Verfolgungssituation ergibt. Der Beschwerdeführerin ist es demnach nicht gelungen, nachzuweisen oder glaubhaft zu machen, dass sie im Iran aktuell begründete Furcht vor ernsthaften (frauenspezifischen) Nachteilen im Sinne von Art. 3 Abs. 2 AsylG haben müsse.</w:t>
      </w:r>
    </w:p>
    <w:p>
      <w:r>
        <w:rPr>
          <w:b/>
        </w:rPr>
        <w:t>E. 4.2</w:t>
      </w:r>
    </w:p>
    <w:p>
      <w:r>
        <w:t>Mit dem Vorbringen in der Beschwerde (vgl. daselbst, S. 8), durch ihre Konversion in Griechenland und das christliche Leben in der Schweiz einer Verfolgungsgefahr im Iran ausgesetzt zu sein, macht die Beschwerdeführerin sodann subjektive Nachfluchtgründe geltend. Diesbezüglich ist betreffend die Situation im Iran festzuhalten, dass nach ständiger Praxis im Falle einer im Ausland erfolgten Konversion, mithin ein Übertritt zum christlichen Glauben, für sich alleine nicht zu einer individuellen staatlichen Verfolgung im Iran führt (vgl. BVGE 2009/28 E. 7.3.5 und in neuerer Rechtsprechung statt vieler Urteil des BVGer D-2046/2019 vom 13. August 2020 E. 7.3.1). Eine allfällige Verfolgung durch den iranischen Staat kommt nach Auffassung des Gerichts erst dann zum Tragen, wenn der Wechsel des Glaubens aufgrund einer missionierenden Tätigkeit bekannt wird und zugleich Aktivitäten vorliegen, die vom Regime als Angriff auf den Staat angesehen werden können. Vorliegend wird nicht in Frage gestellt, dass sich die Beschwerdeführerin in Griechenland hat taufen lassen und sich in der Schweiz an christlichen Aktivitäten beteiligt hat. Nach den vorstehenden Erwägungen besteht allerdings kein Grund zur Annahme, ihr einfaches persönliches Engagement im Rahmen ihrer Kirchgemeinde könnte das Interesse der heimatlichen Behörden auf sie lenken, zumal die Beschwerdeführerin eigenen Angaben zufolge in ihrer Kirchgemeinde keine bestimmte Funktion innehat und lediglich hin und wieder den Gottesdienst besucht und sich mit iranischen Christen auf «WhatsApp» austauscht. Auch die in der Beschwerde erstmals geltend gemachten Teilnahmen an regimekritischen Demonstrationen und Kundgebungen in der Schweiz stellen lediglich niederschwellige Tätigkeiten dar, bei der sich die Beschwerdeführerin gemäss den eingereichten Fotos nicht derart exponiert hat, dass sie aus Sicht des iranischen Regimes nunmehr als potentielle Bedrohung wahrgenommen würde.</w:t>
      </w:r>
    </w:p>
    <w:p>
      <w:r>
        <w:rPr>
          <w:b/>
        </w:rPr>
        <w:t>E. 4.3</w:t>
      </w:r>
    </w:p>
    <w:p>
      <w:r>
        <w:t>Zusammenfassend hat die Beschwerdeführerin nichts vorgebracht, was geeignet wäre, eine asyl- beziehungsweise flüchtlingsrechtlich relevante Verfolgung nachzuweisen oder zumindest glaubhaft zu machen. Die Vorinstanz hat somit zu Recht die Flüchtlingseigenschaft verneint und das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die Beschwerdeführerin für den Fall einer Ausschaffung in den Iran dort mit beachtlicher Wahrscheinlichkeit einer nach Art. 3 EMRK oder Art. 1 FoK verbotenen Strafe oder Behandlung ausgesetzt wäre. Die entsprechenden und nicht weiter vertieften Beschwerdeausführungen gehen ins Leere. Der Vollzug der Wegweisung ist zulässig.</w:t>
      </w:r>
    </w:p>
    <w:p>
      <w:r>
        <w:rPr>
          <w:b/>
        </w:rPr>
        <w:t>E. 6.3</w:t>
      </w:r>
    </w:p>
    <w:p>
      <w:r>
        <w:t>Nach Art. 83 Abs. 4 AIG kann der Vollzug für Ausländerinnen und Ausländer unzumutbar sein, wenn sie im Heimat- oder Herkunftsstaat auf Grund von Situationen wie Krieg, Bürgerkrieg, allgemeiner Gewalt und medizinischer Notlage konkret gefährdet sind. Die allgemeine Lage im Heimatstaat der Beschwerdeführerin ist nicht von einer landesweiten Situation von Krieg, Bürgerkrieg oder allgemeiner Gewalt geprägt. Auch in individueller Hinsicht sind keine Gründe ersichtlich, die eine Wegweisung als unzumutbar erscheinen liessen. Die Beschwerdeführerin verfügt über Schulbildung und Berufserfahrung sowie über ein intaktes familiäres Beziehungsnetz vor Ort, auf dessen Hilfe sie bei Bedarf zurückgreifen kann. Auf Beschwerdeebene wird dem nichts Stichhaltiges entgegengestellt. Im Weiteren steht die Corona-Pandemie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bereits EMARK 1995 Nr. 14 E. 8d f.).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 Der Vollzug der Wegweisung ist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Angesichts des Umstands, dass sich die Rechtsbegehren als aussichtslos erwiesen haben, ist das Gesuch um Gewährung der unentgeltlichen Rechtspflege (Art. 65 Abs. 1 VwVG) abzuweisen.</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