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D-1717/2007 vom 6. Juli 2010</w:t>
      </w:r>
    </w:p>
    <w:p>
      <w:r>
        <w:t>Bundesverwaltungsgericht, 2010-07-06, FR</w:t>
      </w:r>
    </w:p>
    <w:p>
      <w:r>
        <w:rPr>
          <w:b/>
        </w:rPr>
        <w:t xml:space="preserve">Quelle: </w:t>
      </w:r>
      <w:r>
        <w:t>https://mcp.opencaselaw.ch/entscheid/bvger_D-1717_2007</w:t>
      </w:r>
    </w:p>
    <w:p>
      <w:r>
        <w:t>FR: TAF D-1717/2007 du 6 juillet 2010</w:t>
      </w:r>
    </w:p>
    <w:p>
      <w:r>
        <w:t>IT: TAF D-1717/2007 del 6 luglio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L'intéressée a qualité pour recourir (cf. art. 48 al. 1 let. c PA, applicable par renvoi de l'art. 37 LTAF). Présenté dans la forme (cf. art. 52 PA) et le délai (cf. art. 50 PA, s'agissant d'un recours déposé avant l'entrée en vigueur, le 1er janvier 2008, de l'art. 108 al. 1 LAsi) prescrits par la loi, le recours est recevable.</w:t>
      </w:r>
    </w:p>
    <w:p>
      <w:r>
        <w:rPr>
          <w:b/>
        </w:rPr>
        <w:t>E. 1.3</w:t>
      </w:r>
    </w:p>
    <w:p>
      <w:r>
        <w:t>En effet, aucun élément au dossier ne permet de penser que la recourante, qui s'est prétendue mineure au moment du dépôt de sa demande d'asile, était alors incapable de discernement. C'est dès lors à juste titre que l'autorité de première instance a considéré qu'elle avait la capacité d'ester en justice s'agissant de l'exercice de ses droits strictement personnels (art. 19 al. 2 CC) et est entrée en matière sur sa requête (Jurisprudence et informations de la Commission suisse de recours en matière d'asile [JICRA] 1996 n° 3 et n° 5).</w:t>
      </w:r>
    </w:p>
    <w:p>
      <w:r>
        <w:rPr>
          <w:b/>
        </w:rPr>
        <w:t>E. 1.4</w:t>
      </w:r>
    </w:p>
    <w:p>
      <w:r>
        <w:t>En outre, la recourante a été pourvue d'une personne de confiance, respectivement d'un curateur, qui l'a assistée dans la défense de ses droits lors de l'audition sur ses motifs d'asile à Zürich, le 7 juin 2005, de sorte que la procédure applicable aux requérants d'asile mineurs non accompagnés a été respectée (JICRA 1996 n° 3 à 5, JICRA 1998 n° 13 consid. 4b/ee p. 92 ss, JICRA 1999 n° 2 p. 8 ss, JICRA 2003 n° 1 consid. 3/b à f p. 5 ss).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Selon la définition du terme "réfugié" donnée à l'art. 3 al. 1 LAsi, seuls revêtent cette qualité les étrangers qui sont persécutés dans leur pays d'origine ou (s'agissant des apatrides) dans leur pays de résidence (cf. notamment : MARIO GATTIKER, La procédure d'asile et de renvoi, Berne 1999, p. 57 ; HAUT COMMISSARIAT DES NATIONS UNIES POUR LES RÉFUGIÉS [HCR], Guide des procédures et critères à appliquer pour déterminer le statut de réfugié, Genève 1992, p. 22 et 26 ; ROLAND BERSIER, Droit d'asile et statut du réfugié en Suisse, Lausanne 1991, p. 44 ; WALTER KÄLIN, Grundriss des Asylverfahrens, Bâle/Francfort-sur-le-Main 1990, p. 34ss ; ALBERTO ACHERMANN/CHRISTINA HAUSAMMANN, Les notions d'asile et de réfugié en droit suisse, in: W. Kälin (éd.), Droit des réfugiés, Enseignement de 3e cycle de droit 1990, Fribourg 1991, p. 27 ; SAMUEL WERENFELS, Der Begriff des Flüchtlings im schweizerischen Asylrecht, Berne 1987, p. 329ss).</w:t>
      </w:r>
    </w:p>
    <w:p>
      <w:r>
        <w:rPr>
          <w:b/>
        </w:rPr>
        <w:t>E. 3.1</w:t>
      </w:r>
    </w:p>
    <w:p>
      <w:r>
        <w:t>La recourante étant de nationalité camerounaise, seules peuvent être prises en considération, pour la détermination de la qualité de réfugié et l'octroi de l'asile, ses craintes de persécution en cas de retour au Cameroun. En effet, sur ce point, force est de rappeler que la protection internationale offerte en vertu de la Convention sur le statut des réfugiés est subsidiaire à celle garantie par le pays d'origine (JICRA 1998 n° 15 consid. 9a p. 127 et 128).</w:t>
      </w:r>
    </w:p>
    <w:p>
      <w:r>
        <w:rPr>
          <w:b/>
        </w:rPr>
        <w:t>E. 3.2</w:t>
      </w:r>
    </w:p>
    <w:p>
      <w:r>
        <w:t>Dès lors, et si tant est que les recherches alléguées par la recourante lors de son séjour en Guinée équatoriale en février 2004 aient véritablement existé - ce qui au demeurant n'est nullement démontré au vu du manque de consistance et de constance des propos tenus par l'intéressée, laquelle a fait valoir uniquement au stade de l'audition cantonale (cf. pv d'audition du 7 juin 2005, p. 15) et de l'audition complémentaire (cf. pv d'audition du 12 février 2007, p. 6) qu'elle avait été touchée de manière directe et personnelle dans un contexte d'émeutes - celles-ci n'ont pas à être examinées dans le cadre de la présente procédure.</w:t>
      </w:r>
    </w:p>
    <w:p>
      <w:r>
        <w:rPr>
          <w:b/>
        </w:rPr>
        <w:t>E. 3.3</w:t>
      </w:r>
    </w:p>
    <w:p>
      <w:r>
        <w:t>S'agissant des problèmes qu'aurait rencontrés A._______ avec son père en novembre 2003 et qui auraient motivé son départ du Cameroun en janvier 2004, le Tribunal considère, pour les raisons clairement exposées dans la décision querellée, que l'intéressée n'a pas été en mesure d'en établir la vraisemblance, tant ses déclarations se sont révélées singulièrement imprécises, inconstantes et dénuées de toute substance. A titre d'exemple, l'intéressée s'est limitée à affirmer que son père lui avait fait part de son intention de la marier à l'un de ses amis, que père et fille en avaient parlé à une seule occasion (cf. pv d'audition du 28 avril 2005, p. 4 et pv d'audition du 12 février 2007, p. 10), et qu'elle ignorait les motivations de celui-ci concernant cette union (cf. ibidem, p. 10). De plus, lors de sa première audition, elle a déclaré qu'elle n'avait pas osé répliquer à son père lorsque celui-ci lui avait annoncé ce mariage car elle en avait peur (« quand il m'a dit cela je n'ai rien dit car j'avais peur de lui », ibidem, p. 4) tandis qu'en audition complémentaire, elle lui aurait répondu qu'elle ne voulait pas se marier et qu'elle avait peur (« ich sagte, dass ich es nicht tun wollte, dass ich Angst hätte », pv d'audition du 12 février 2007, p. 10). En outre, elle a tenu des propos imprécis voire divergents au sujet de l'homme qu'elle était censée épouser, déclarant tantôt qu'elle avait vu le dénommé G._______ sur une photographie que lui avait montrée son père (cf. pv d'audition du 7 juin 2005, p. 14) tantôt qu'elle l'avait vu, sans autre précision (ibidem, p. 10). Par ailleurs, elle n'a présenté aucun commencement de preuve ni donné aucune indication utile au sujet du prétendu assassinat de sa mère en mai 2002 - laquelle aurait été victime de violence domestique - et des suites qui en auraient résulté, s'étant contentée d'affirmer sur ce point que son père n'avait pas été poursuivi et qu'elle n'en connaissait pas la raison. Ensuite, les circonstances de son départ du Cameroun (elle aurait quitté Bafoussam en compagnie de C._______, le 3 janvier 2004, aurait passé un jour à Douala dans un appartement appartenant à cette dernière, aurait pris un bateau pour Malabo et passé les contrôles douaniers sans encombre, C._______ s'étant chargée de lui procurer des documents dont elle ignore la nature, sous prétexte qu'elle ne pouvait pas se rappeler tous les détails) sont vagues et stéréotypées et n'apportent pas davantage de crédibilité à son récit (cf. pv d'audition du 7 juin 2005, p. 10). Il en va de même des circonstances de son périple jusqu'en Europe (elle aurait quitté Malabo avec une femme qu'elle connaissait à peine, laquelle aurait néanmoins financé son voyage, et aurait été munie d'un passeport d'emprunt dont elle ignore l'identité et la nationalité, cf. pv d'audition du 7 juin 2005, p. 12). Quant aux déclarations selon lesquelles elle n'aurait pas possédé une carte d'identité du fait de sa minorité (cf. audition du 12 février 2007, p. 5), celles-ci contredisent des informations notoires, à savoir que chaque citoyen camerounais a l'obligation de porter une carte d'identité sur soi, document qu'il doit se faire établir au plus tard lors de ses 18 ans (OSAR, Informations sur les documents d'identité africains, Angela Benidir-Müller, mars 2005, p. 8). Il convient de souligner que les éléments relevés ci-dessus constituent des faits à la fois marquants et essentiels de la demande d'asile, que l'intéressée aurait pu et dû être en mesure d'exposer avec constance et toute précision utile si elle les avait véritablement vécus, ce qui n'apparaît manifestement pas être le cas. L'explication avancée dans l'acte de recours, consistant à dire que la confusion de certains propos résulte d'un « vide de mémoire » imputable aux événements douloureux vécus par l'intéressée, n'est étayée par aucun élément concret, tel un rapport médical, et paraît invoquée pour les seuls besoins de la cause. S'agissant enfin de la lettre manuscrite du 1er mars 2007 (cf. let. E supra), elle ne revêt aucune valeur probante, dans la mesure où elle émane d'une amie de la recourante et qu'un risque de collusion entre cette dernière et son auteur ne peut pas être écarté. Le Tribunal est ainsi fondé à retenir que A._______ n'a pas été personnellement confrontée à la pratique traditionnelle néfaste du mariage forcé et qu'elle n'a pas quitté le Cameroun pour les motifs et dans les circonstances allégués. En tout état de cause, il convient de rappeler que si la pratique du mariage forcé demeure répandue dans certaines régions du Cameroun, en particulier dans les zones rurales, moyennant finance, ce type d'union est toutefois réprimé par la législation camerounaise et des activités de sensibilisation sont menées par le Gouvernement auprès des femmes pour leur faire connaître leurs droits et combattre la violence et les autres pratiques coutumières négatives (cf. United Nations Human Rights, Le Comité contre la torture entend les réponses de la délégation du Cameroun, 7 mai 2010).</w:t>
      </w:r>
    </w:p>
    <w:p>
      <w:r>
        <w:rPr>
          <w:b/>
        </w:rPr>
        <w:t>E. 3.4</w:t>
      </w:r>
    </w:p>
    <w:p>
      <w:r>
        <w:t>Il s'ensuit que le recours, en tant qu'il conteste le refus de l'asile et la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rien n'indique que l'exécution du renvoi au Cameroun exposerait la recourante à un risque concret et sérieux de traitements de cette nature, notamment sur le plan médical. Certes, le Tribunal a retenu que l'exécution du renvoi d'une personne atteinte du Sida en phase terminale pouvait, dans des circonstances tout à fait extraordinaires, constituer une violation de l'art. 3 CEDH (cf. ATAF 2009/2 consid. 9.1.3 à 9.1.5 p. 19s. ; JICRA 2004 no 6 consid. 7 p. 40 ss, JICRA 2004 no 7 consid. 5c p. 47 ss). Or la situation médicale de la recourante n'est pas comparable à celle à la base de la jurisprudence mentionnée ci-dessus, dans la mesure où elle souffre d'une infection par le VIH au stade A2 (pour laquelle une thérapie antirétrovirale lui sera administrée prochainement) et qu'elle n'est atteinte d'aucune maladie opportuniste. L'exécution du renvoi sous forme de refoulement ne transgresse ainsi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w:t>
      </w:r>
    </w:p>
    <w:p>
      <w:r>
        <w:rPr>
          <w:b/>
        </w:rPr>
        <w:t>E. 7.2.1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 cf. JICRA 2003 no 24 consid. 5b p. 157 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no 24 précitée,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7.2.2</w:t>
      </w:r>
    </w:p>
    <w:p>
      <w:r>
        <w:t>Il s'agit donc d'examiner, au regard des critères explicités ci-dessus, si l'intéressée est en droit de conclure au caractère inexigible de l'exécution de son renvoi, compte tenu de la situation générale prévalant actuellement au Cameroun, d'une part, et de sa situation personnelle, d'autre part.</w:t>
      </w:r>
    </w:p>
    <w:p>
      <w:r>
        <w:rPr>
          <w:b/>
        </w:rPr>
        <w:t>E. 7.2.3</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7.2.4</w:t>
      </w:r>
    </w:p>
    <w:p>
      <w:r>
        <w:t>En outre, il ne ressort du dossier aucun élément dont on pourrait inférer que l'exécution du renvoi impliquerait une mise en danger concrète de la recourante. Sous l'angle médical, il est à noter que la situation générale prévalant au Cameroun en matière de traitement du VIH/Sida a évolué favorablement ces dernières années. Ainsi qu'il ressort des renseignements à disposition du Tribunal (cf. l'arrêt du TAF C-8650/2007 du 5 mars 2010 consid. 9.4.1 et 9.4.2 et C-7450/2006 du 5 mars 2010 consid. 5.5.3) de nombreux traitements antirétroviraux (trithérapies) de première et de deuxième ligne y sont aujourd'hui disponibles gratuitement pour les personnes qui - à l'instar de la recourante (qui est affectée d'une infection par le VIH au stade A2 nécessitant la mise en place d'une thérapie antirétrovirale) - remplissent les critères d'éligibilité définis par les Directives nationales de prise en charge des personnes vivant avec le VIH (PVVIH) par les antirétroviraux, émises en mars 2007. En outre, beaucoup d'examens médicaux sont actuellement subventionnés par l'Etat. Quant aux principales villes du pays (Yaoundé et Douala), elles comptent chacune plusieurs Centres de Traitement Agréés (CTA) et Unités de Prise en Charge (UPEC), des structures équipées en matériel et personnel formé dans la prise en charge du VIH/Sida et ouvertes à toute personne diagnostiquée séropositive vivant au Cameroun. A l'heure actuelle, on dénombre 9 CTA et 9 UPEC à Yaoundé, et 3 CTA et 10 UPEC à Douala. S'agissant du suivi biologique requis par les personnes infectées par le VIH, il est à noter que les UPEC se bornent en règle générale à procéder à un hémogramme (ou numération de la formule sanguine, qui permet notamment de déterminer le taux de lymphocytes total) et à des examens standards (dosage des transaminases, glycémie à jeun), alors que les CTA sont des centres de référence ayant la capacité de déterminer le taux de lymphocytes CD4 et d'effectuer des examens plus complexes (dosages de l'amylase, de la créatinine et de l'urée, bilan lipidique). Des centres de recherches à Yaoundé, tels le Centre Pasteur, disposent par ailleurs des moyens techniques nécessaires pour procéder à un examen de la charge virale ou à un test de résistance (cf. arrêt du TAF C-651/2006 du 20 janvier 2010 consid. 6.3.2 ; sur le système de classification américain de la progression de l'infection par le VIH en stades A à C, eux-mêmes subdivisés en niveaux de gravité 1 à 3, cf. ATAF 2009/2 précité consid. 9.1.4 p. 20 et arrêt du TAF C-651/2006 précité consid. 6.2.2).</w:t>
      </w:r>
    </w:p>
    <w:p>
      <w:r>
        <w:rPr>
          <w:b/>
        </w:rPr>
        <w:t>E. 7.2.5</w:t>
      </w:r>
    </w:p>
    <w:p>
      <w:r>
        <w:t>De retour au Cameroun, la recourante aura donc la possibilité de bénéficier d'un traitement antirétroviral gratuit (moyennant un éventuel changement de médication) et d'un suivi médical subventionné en relation avec son infection par le VIH, en particulier dans les villes de Douala et de Yaoundé. Au demeurant, la recourante dispose d'un réseau social et familial (composé pour le moins de son père et des ses deux frères) sur lequel elle pourra compter à son retour.</w:t>
      </w:r>
    </w:p>
    <w:p>
      <w:r>
        <w:rPr>
          <w:b/>
        </w:rPr>
        <w:t>E. 7.3</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