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D-1713/2015 vom 22. März 2015</w:t>
      </w:r>
    </w:p>
    <w:p>
      <w:r>
        <w:t>Bundesverwaltungsgericht, 2015-03-22, DE</w:t>
      </w:r>
    </w:p>
    <w:p>
      <w:r>
        <w:rPr>
          <w:b/>
        </w:rPr>
        <w:t xml:space="preserve">Quelle: </w:t>
      </w:r>
      <w:r>
        <w:t>https://mcp.opencaselaw.ch/entscheid/bvger_D-1713_2015</w:t>
      </w:r>
    </w:p>
    <w:p>
      <w:r>
        <w:t>FR: TAF D-1713/2015 du 22 mars 2015</w:t>
      </w:r>
    </w:p>
    <w:p>
      <w:r>
        <w:t>IT: TAF D-1713/2015 del 22 marzo 2015</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Urteil des BVGer D-3622/2011 vom 8. Oktober 2014 E. 5, zur Publikation vorgesehen). 3.1 Über offensichtlich begründete Beschwerden wird in einzelrichterlicher Zuständigkeit mit Zustimmung eines zweiten Richters oder einer zweiten Richterin entschieden (Art. 111 Bst. e AsylG). Wie nachstehend aufgezeigt, handelt es sich vorliegend um eine solche, weshalb der Beschwerdeentscheid nur summarisch zu begründen ist (Art. 111a Abs. 2 AsylG). 3.2 In Anwendung von Art. 111a Abs. 1 AsylG wurde auf die Durchführung eines Schriftenwechsels verzichtet. 4.1 Der Grundsatz des rechtlichen Gehörs (Art. 29 Abs. 2 BV, Art. 29 VwVG, Art. 32 Abs. 1 VwVG) verlangt von der verfügenden Behörde unter anderem, die Vorbringen einer gesuchstellenden Person einerseits nicht nur entgegen zu nehmen, sondern diese auch wirklich zu hören, sorgfältig zu prüfen und in der Entscheidfindung zu berücksichtigen und andererseits der gesuchstellenden Person gegenüber im Rahmen einer Verfügung mitzuteilen, wieso der Entscheid so und nicht anders ausgefallen ist beziehungsweise warum ihren Anträgen nicht stattgegeben wurde. Die Begründung soll mithin die ernsthafte Prüfung der Vorbringen widerspiegeln und es dem Betroffenen ermöglichen, den Entscheid gegebenenfalls sachgerecht anfechten zu können, was nur möglich ist, wenn sich sowohl der Betroffene als auch die Rechtsmittelinstanz über die Tragweite des Entscheids ein Bild machen können. Die erforderliche Begründungsdichte richtet sich dabei im Einzelfall nach dem Verfügungsgegenstand, den Verfahrensumständen und den Interessen des Betroffenen. Je grösser der Spielraum, welcher der Behörde infolge Ermessen und unbestimmter Rechtsbegriffe eingeräumt ist, und je stärker ein Entscheid in die individuellen Rechte des Betroffenen eingreift, desto höhere Anforderungen sind an die Begründung einer Verfügung zu stellen. Auch wenn sich die verfügende Behörde nicht ausdrücklich mit jeder tatbeständlichen Behauptung und jedem rechtlichen Einwand auseinandersetzen muss, sondern sich auf die wesentlichen Gesichtspunkte beschränken darf, hat sie wenigstens kurz die Überlegungen zu nennen, von welchen sie sich leiten liess und auf welche sich ihr Entscheid stützt (Vgl. BVGE 2008/47 E. 3.2 m.w.H.). 4.2 Dieser Pflicht ist das SEM in der angefochtenen Verfügung nicht nachgekommen. Gemäss Art. 44 AsylG hat das SEM bei der Anordnung des Vollzugs der Wegweisung den Grundsatz der Einheit der Familie zu beachten. Diese Bestimmung geht, wie bereits in den Entscheidungen und Mitteilungen der Schweizerischen Asylrekurskommission [EMARK] 1995 Nr. 24 festgestellt wurde, über die Tragweite von Art. 8 EMRK hinaus und beinhaltet, dass die vorläufige Aufnahme des einen Familienmitglieds in der Regel auch zur vorläufigen Aufnahme von dessen Familie führt (vgl. Urteil des Bundesverwaltungsgerichts D-1115/2013 vom 11. April 2013 E. 5.2 m.w.H.). Den Akten ist zu entnehmen, dass der Ehemann respektive Vater der Beschwerdeführenden mit Verfügung des BFM (...) 2014 in der Schweiz vorläufig aufgenommen wurde, da ihm aufgrund der Blutrache im Heimatland eine Behandlung droht, die gegen Art. 3 EMRK verstösst. Eine Auseinandersetzung mit der Frage, inwiefern die Beschwerdeführenden aufgrund des Grundsatzes der Einheit der Familie in die vorläufige Aufnahme des Ehemannes beziehungsweise Vaters einzubeziehen seien, fehlt in der angefochtenen Verfügung. Die Begründung ist daher als ungenügend zu bezeichnen. 4.3 Der Anspruch auf rechtliches Gehör ist formeller Natur, weshalb seine Verletzung grundsätzlich zur Aufhebung des daraufhin ergangenen Entscheides führt (vgl. BVGE 2008/47 E. 3.3.4 und BVGE 2008/14 E. 4.1).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die Beschwerdeführenden dazu Stellung nehmen können und der Beschwerdeinstanz im streitigen Punkt die freie Überprüfungsbefugnis in Bezug auf Tatbestand und Rechtsanwendung zukommt, sowie die festgestellte Verletzung nicht schwerwiegender Natur ist und die fehlende Entscheidreife durch die Beschwerdeinstanz mit vertretbarem Aufwand hergestellt werden kann (vgl. BVGE 2007/47 E. 3.3.4). Aufgrund des Umstandes, dass eine Auseinandersetzung mit einer zentralen Frage des vorliegenden Falles in der Begründung der vor­instanzlichen Verfügung gänzlich fehlt, ist von einer gravierenden Verletzung auszugehen, wodurch eine Heilung auf Beschwerdeebene nicht angezeigt erscheint.</w:t>
      </w:r>
    </w:p>
    <w:p>
      <w:r>
        <w:rPr>
          <w:b/>
        </w:rPr>
        <w:t>E. 5</w:t>
      </w:r>
    </w:p>
    <w:p>
      <w:r>
        <w:t>Die Beschwerde ist somit gutzuheissen, soweit die Aufhebung der ange­fochtenen Verfügung beantragt wurde. Die vorinstanzliche Verfügung vom 11. März 2014 ist aufzuheben und die Sache in Anwendung von Art. 61 Abs. 1 in fine VwVG zur etwaigen Ergänzung des Sachverhalts und Neubeurteilung im Sinne der Erwägungen ans SEM zurückzuweisen.</w:t>
      </w:r>
    </w:p>
    <w:p>
      <w:r>
        <w:rPr>
          <w:b/>
        </w:rPr>
        <w:t>E. 6</w:t>
      </w:r>
    </w:p>
    <w:p>
      <w:r>
        <w:t>Bei diesem Verfahrensausgang sind keine Kosten zu erheben (Art. 63 Abs. 1 VwVG). Der Antrag auf unentgeltliche Prozessführung wird aufgrund des Obsiegens gegenstandslos.</w:t>
      </w:r>
    </w:p>
    <w:p>
      <w:r>
        <w:rPr>
          <w:b/>
        </w:rPr>
        <w:t>E. 7</w:t>
      </w:r>
    </w:p>
    <w:p>
      <w:r>
        <w:t>Trotz Obsiegens ist keine Parteientschädigung zuzusprechen, da den nicht vertretenen Beschwerdeführenden keine Parteikosten angefallen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