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D-1709/2012 vom 13. April 2012</w:t>
      </w:r>
    </w:p>
    <w:p>
      <w:r>
        <w:t>Bundesverwaltungsgericht, 2012-04-13, IT</w:t>
      </w:r>
    </w:p>
    <w:p>
      <w:r>
        <w:rPr>
          <w:b/>
        </w:rPr>
        <w:t xml:space="preserve">Quelle: </w:t>
      </w:r>
      <w:r>
        <w:t>https://mcp.opencaselaw.ch/entscheid/bvger_D-1709_2012</w:t>
      </w:r>
    </w:p>
    <w:p>
      <w:r>
        <w:t>FR: TAF D-1709/2012 du 13 avril 2012</w:t>
      </w:r>
    </w:p>
    <w:p>
      <w:r>
        <w:t>IT: TAF D-1709/2012 del 13 aprile 2012</w:t>
      </w:r>
    </w:p>
    <w:p>
      <w:pPr>
        <w:pStyle w:val="Heading2"/>
      </w:pPr>
      <w:r>
        <w:t>Regeste</w:t>
      </w:r>
    </w:p>
    <w:p>
      <w:r>
        <w:t>Esecuzione e allontanamento (ricorso contro una decisione passata in giudicato)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