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D-1707/2014 vom 15. April 2014</w:t>
      </w:r>
    </w:p>
    <w:p>
      <w:r>
        <w:t>Bundesverwaltungsgericht, 2014-04-15, DE</w:t>
      </w:r>
    </w:p>
    <w:p>
      <w:r>
        <w:rPr>
          <w:b/>
        </w:rPr>
        <w:t xml:space="preserve">Quelle: </w:t>
      </w:r>
      <w:r>
        <w:t>https://mcp.opencaselaw.ch/entscheid/bvger_D-1707_2014</w:t>
      </w:r>
    </w:p>
    <w:p>
      <w:r>
        <w:t>FR: TAF D-1707/2014 du 15 avril 2014</w:t>
      </w:r>
    </w:p>
    <w:p>
      <w:r>
        <w:t>IT: TAF D-1707/2014 del 15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war zum Zeitpunkt des Inkrafttretens der Änderung des AsylG vom 14. Dezember 2012 - mithin am 1. Februar 2014 - hängig, weshalb vorliegend das neue Recht gilt (vgl. Abs. 1 der entsprechenden Übergangsbestimmungen).</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Mithin ist auf die Beschwerde einzutreten.</w:t>
      </w:r>
    </w:p>
    <w:p>
      <w:r>
        <w:rPr>
          <w:b/>
        </w:rPr>
        <w:t>E. 3</w:t>
      </w:r>
    </w:p>
    <w:p>
      <w:r>
        <w:t>Die Kognition des Bundesverwaltungsgerichts und die zulässigen Rügen bestimmen sich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Rechtsmitteleingabe wird an der Glaubhaftigkeit und asylrechtlichen Relevanz der vom Beschwerdeführer geltend gemachten Verfolgungsvorbringen festgehalten. Namentlich wird unter Bezugnahme auf Entscheidungen und Mitteilungen der Schweizerischen Asylrekurskommission [EMARK] 1993 Nr. 3 eingewendet, die Aussagen anlässlich der Erstbefragung vom (...) 2013 und der Anhörung vom (...) 2014 widersprächen sich nicht in einem Ausmass, dass deren Glaubwürdigkeit in Frage zu stellen sei. Gemäss diesem weiterhin massgebenden Grundsatzentscheid dürften Widersprüche für die Beurteilung der Glaubwürdigkeit nur dann herangezogen werden, wenn klare Aussagen in der Empfangsstelle in wesentlichen Punkten der Asylbegründung von den späteren Aussagen in der Befragung beim Kanton oder beim BFM diametral abweichen würden, oder wenn bestimmte Ereignisse oder Befürchtungen, welche später als zentrale Asylgründe genannt werden, nicht bereits in der Empfangsstelle zumindest ansatzweise erwähnt werden. Dies treffe bezüglich der Aussagen des Beschwerdeführers zu den spezifischen Aufgaben seines Vaters, zum Grund für dessen Verhaftung, zu seiner eigenen politischen Aktivität und zu den Orten, wo er polizeilich befragt worden sei, nicht zu (vgl. Beschwerde S. 3-5).</w:t>
      </w:r>
    </w:p>
    <w:p>
      <w:r>
        <w:rPr>
          <w:b/>
        </w:rPr>
        <w:t>E. 6.1.1</w:t>
      </w:r>
    </w:p>
    <w:p>
      <w:r>
        <w:t>Diese Argumentation vermag nicht zu überzeugen. Vielmehr ist den Erwägungen in der angefochtenen Verfügung beizupflichten (vgl. Sachverhalt Bst. B), welche sich nach einer Überprüfung der Akten als zutreffend erweisen. So wurde von der Vorinstanz namentlich in überzeugender Weise detailliert dargelegt, dass vom Beschwerdeführer zahlreiche wesentliche Vorbringen ohne zwingenden Grund erst im späteren Verlauf des Verfahrens geltend gemacht wurden. Im Übrigen ergeben sich aus der Überprüfung der Akten weitere unplausible Aussagen des Beschwerdeführers, welche die Einschätzung der Vorinstanz bestätigen. So machte er erst im Rahmen der Anhörung vom (...) 2014 erstmals geltend, er sei auch beschuldigt worden, Mitglied des (...) zu sein (...), nachdem er zuvor stets behauptet hatte, er sei einzig im Zusammenhang mit den diesbezüglichen Aktivitäten seines Vaters behördlich behelligt worden. Diese Aussage ist zudem nicht mit seinem Vorbringen in Einklang zu bringen, wonach er erst (...) zum ersten Mal polizeilich behördlich behelligt worden sei (...). Sodann war er nicht in der Lage, das Datum und einen plausiblen Grund für die Freilassung seines angeblich des Terrorismus verdächtigten Vaters anzugeben (...), während sich die übrigen mit dem Vater befreundeten Mitglieder des erwähnten Komitees allesamt weiterhin in Haft befänden (...). Schliesslich erscheint nach der Freilassung des Vaters noch weniger plausibel, weshalb die Behörden ein Interesse an der Verhaftung des Beschwerdeführers hätten haben sollen (...).</w:t>
      </w:r>
    </w:p>
    <w:p>
      <w:r>
        <w:rPr>
          <w:b/>
        </w:rPr>
        <w:t>E. 6.1.2</w:t>
      </w:r>
    </w:p>
    <w:p>
      <w:r>
        <w:t>Nach dem Gesagten vermögen auch die Ausführungen in der Rechtsmitteleingabe an der mangelnden Glaubhaftigkeit der geltend gemachten Verfolgungsvorbringen nichts zu ändern. Es erübrigt sich deshalb, diese auf ihre asylrechtliche Relevanz hin zu prüfen</w:t>
      </w:r>
    </w:p>
    <w:p>
      <w:r>
        <w:rPr>
          <w:b/>
        </w:rPr>
        <w:t>E. 6.2</w:t>
      </w:r>
    </w:p>
    <w:p>
      <w:r>
        <w:t>In Würdigung der gesamten Umstände und Vorbringen des Beschwerdeführers kann eine weitergehende Prüfung der Ausführungen in der Beschwerde unterbleiben, da diese an der vorgenommenen Würdigung des Sachverhalts nichts zu ändern vermögen. Die Vorinstanz hat demnach das Asylgesuch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fremdenpolizeiliche Aufenthaltsbewilligung noch einen Anspruch auf Erteilung einer sol-chen. Die Wegweisung wurde demnach zu Recht angeordnet (Art. 44 AsylG; vgl. BVGE 2009/50 E. 9 S. 733 mit weiteren Hinweisen).</w:t>
      </w:r>
    </w:p>
    <w:p>
      <w:r>
        <w:rPr>
          <w:b/>
        </w:rPr>
        <w:t>E. 8</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Äthiopien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m.w.H.). Dies ist vorliegend nicht der Fall. Es besteht kein konkreter Anlass zur Annahme, dem Beschwerdeführer würde bei einer Rückkehr in sein Heimatland eine menschenrechtswidrige Behandlung drohen, zumal es ihm - wie oben unter Ziff. 6 der Erwägungen festgehalten wurde - nicht gelungen ist, eine aktuelle Verfolgungssituation darzutun.</w:t>
      </w:r>
    </w:p>
    <w:p>
      <w:r>
        <w:rPr>
          <w:b/>
        </w:rPr>
        <w:t>E. 8.1.3</w:t>
      </w:r>
    </w:p>
    <w:p>
      <w:r>
        <w:t>Der Vollzug der Wegweisung ist damit sowohl im Sinne der asyl- als auch der völkerrechtlichen Bestimmungen zulässig.</w:t>
      </w:r>
    </w:p>
    <w:p>
      <w:r>
        <w:rPr>
          <w:b/>
        </w:rPr>
        <w:t>E. 8.2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Der aus F._______ stammende Beschwerdeführer hat eigenen Angaben zufolge den Schulunterreicht nach dem (...) Schuljahr abgeschlossen und war in der Folge erwerbstätig (...). Neben seiner amharischen Muttersprache verfügt er über (...). Seine engsten Familienangehörigen (...) sind nach wie vor in F._______ wohnhaft (...). Der Beschwerdeführer ist noch jung und leidet - soweit aktenkundig - an keinen, geschweige denn schwerwiegenden, gesundheitlichen Problemen.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 sowohl in genereller als auch in individueller Hinsicht als zumutbar bezeichnet werden.</w:t>
      </w:r>
    </w:p>
    <w:p>
      <w:r>
        <w:rPr>
          <w:b/>
        </w:rPr>
        <w:t>E. 8.3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8.4</w:t>
      </w:r>
    </w:p>
    <w:p>
      <w:r>
        <w:t>Insgesamt hat das Bundesamt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Der Antrag betreffend Verzicht auf die Erhebung eines Kostenvorschusses ist aufgrund des direkten Entscheids in der Hauptsache gegenstandslos geworden, weshalb darüber nicht zu befinden ist.</w:t>
      </w:r>
    </w:p>
    <w:p>
      <w:r>
        <w:rPr>
          <w:b/>
        </w:rPr>
        <w:t>E. 10.2</w:t>
      </w:r>
    </w:p>
    <w:p>
      <w:r>
        <w:t>Das Gesuch um Gewährung der unentgeltlichen Rechtspflege (Erlass der Verfahrenskosten) ist abzuweisen, da die Begehren des prozessual bedürftigen Beschwerdeführers - wie sich aus den vorstehenden Erwägungen ergibt - als aussichtslos zu bezeichnen waren, weshalb die kumulativen Voraussetzungen von Art. 65 Abs. 1 VwVG nicht erfüllt sind.</w:t>
      </w:r>
    </w:p>
    <w:p>
      <w:r>
        <w:rPr>
          <w:b/>
        </w:rPr>
        <w:t>E. 10.3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