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D-1706/2015 vom 6. April 2016</w:t>
      </w:r>
    </w:p>
    <w:p>
      <w:r>
        <w:t>Bundesverwaltungsgericht, 2016-04-06, DE</w:t>
      </w:r>
    </w:p>
    <w:p>
      <w:r>
        <w:rPr>
          <w:b/>
        </w:rPr>
        <w:t xml:space="preserve">Quelle: </w:t>
      </w:r>
      <w:r>
        <w:t>https://mcp.opencaselaw.ch/entscheid/bvger_D-1706_2015</w:t>
      </w:r>
    </w:p>
    <w:p>
      <w:r>
        <w:t>FR: TAF D-1706/2015 du 6 avril 2016</w:t>
      </w:r>
    </w:p>
    <w:p>
      <w:r>
        <w:t>IT: TAF D-1706/2015 del 6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SEM hat in seiner Verfügung vom 11. Februar 2015 die vorläufige Aufnahme des Beschwerdeführers zufolge Unzumutbarkeit des Wegweisungsvollzugs angeordnet. Diesbezüglich wurde die vorinstanzliche Verfügung nicht angefochten. Damit beschränkt sich das vorliegende Beschwerdeverfahren nur noch auf die Fragen, ob der Beschwerdeführer die Flüchtlingseigenschaft erfüllt und ob ihm deswegen Asyl zu gewähren und auf die Wegweisung zu verzichten oder er zumindest als Flüchtling vorläufig aufzunehmen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5.1</w:t>
      </w:r>
    </w:p>
    <w:p>
      <w:r>
        <w:t>Der Beschwerdeführer begründete sein Asylgesuch zunächst damit, verschiedene Familienmitglieder seien bereits in der Vergangenheit ins Fadenkreuz der syrischen Behörden geraten, weil sie sich in verbotener Weise politisch engagiert hätten. So seien sein Bruder D._______ sowie ein Onkel in den Jahren 1993 beziehungsweise 1994 als Märtyrer gefallen, was dazu geführt habe, dass sowohl sein Vater als auch einer seiner Brüder wiederholt behördlicherseits mitgenommen worden seien. Sein Bruder E._______ sei im Jahr 2006 erstmals verhaftet worden. Im Jahre 2009 sei er mehrere Monate lang wegen verbotener politischer Aktivitäten inhaftiert gewesen. Er selbst sowie ein weiterer Bruder - F._______ - seien beim Versuch, den Aufenthaltsort von E._______ ausfindig zu machen, Ende Januar 2009 in eigener Person zwei Tage lang inhaftiert worden. Nach der Ausreise jenes Bruders aus Syrien im Jahr 2010 habe sich die Situation weiter zugespitzt, weil die syrischen Behörden ihm und seinen Brüdern wiederholte Male mit Festnahme gedroht hätten, falls sein geflohener Bruder sich nicht stelle. Damit beruft der Beschwerdeführer sich sinngemäss auf Reflexverfolgung. Wie indessen die Vorinstanz in ihrer Verfügung vom 11. Februar 2015 zutreffend festgehalten hat, brachte der Beschwerdeführer anlässlich seiner Anhörungen unmissverständlich zum Ausdruck, dass diese behördlichen Vorsprachen nach dem Ausbruch der Revolution in Syrien im Jahr 2011 aufgehört hätten, da diese Leute nunmehr mit anderen Dingen beschäftigt gewesen seien (vgl. act. A11/17 S. 8 F und A60 i.V.m. S. 11 F und A84 f. und F und A87 f.). Damit fehlt es den entsprechenden behördlichen Übergriffen ungeachtet der Frage ihrer rechtsgenüglichen Intensität sowohl in zeitlicher als auch in sachlicher Hinsicht an einem hinreichenden Zusammenhang zur Ausreise des Beschwerdeführers Ende September 2013, weshalb diesen Vorkommnissen bereits aus diesem Grunde keine asylbeachtliche Bedeutung zukommt.</w:t>
      </w:r>
    </w:p>
    <w:p>
      <w:r>
        <w:rPr>
          <w:b/>
        </w:rPr>
        <w:t>E. 5.2</w:t>
      </w:r>
    </w:p>
    <w:p>
      <w:r>
        <w:t>Der Beschwerdeführer wies im Weiteren darauf hin, dass er sich seit dem Jahr 2000 in einer folkloristischen Tanzgruppe engagiert und deren Mitgliedern auch die kurdische Sprache gelehrt habe. Derlei Aktivitäten seien bis zur Revolution im Jahr 2011 verboten gewesen, weshalb er diese heimlich ausgeübt habe. Nach Beginn der Revolution hätten sie ein Kulturzentrum erhalten, weshalb sie die entsprechenden Aktivitäten bis zu deren endgültigem Verbot Ende Juli 2013 öffentlich hätten ausüben können (vgl. act. A4/13 S. 8 Ziff. 7.02 i.V.m. act. A11/17 S. 5 ff. F. 38 ff. und S. 8 F und A60). Der Beschwerdeführer verneinte in diesem Zusammenhang aber klar, persönlich gesucht worden zu sein (vgl. act. A11/17 S. 9 F und A70). Deshalb vermag er auch aus seinen obgenannten kulturellen Aktivitäten zwischen den Jahren 2000 und Ende Juli 2013 keine asylbeachtliche Verfolgungssituation abzuleiten. Seine weitere generelle Aussage, er sei "als Aktiver in kulturellen Sachen [...] immer bedroht" gewesen (vgl. act. A11/17 S. 9 F und A70), vermag allein schon angesichts der langjährigen diesbezüglichen Tätigkeiten entgegen den Behauptungen in der Beschwerde (a.a.O. S. 6 Abs. 4 und 5) an dieser Schlussfolgerung nichts zu ändern.</w:t>
      </w:r>
    </w:p>
    <w:p>
      <w:r>
        <w:rPr>
          <w:b/>
        </w:rPr>
        <w:t>E. 5.3</w:t>
      </w:r>
    </w:p>
    <w:p>
      <w:r>
        <w:t>Soweit der Beschwerdeführer darauf hinweist, er habe sich durch terroristische Gruppierungen, die sich nach Ausbruch der Revolution in seinem Wohngebiet etabliert hätten und für zahlreiche Bombenanschläge verantwortlich gewesen seien, permanent bedroht gefühlt (vgl. act. A4/13 S. 7, Ziff. 7.01 oben i.V.m. act. A11/17 S. 8 F und A60 unten und S. 11 f. F und A90 und 92), bleibt festzuhalten, dass es sich hierbei um eine aus der allgemeinen Bürgerkriegssituation resultierende Gefährdung handelt, welcher mit der vorläufigen Aufnahme des Beschwerdeführers wegen Unzumutbarkeit des Wegweisungsvollzugs angemessen Rechnung getragen wurde. Dieselbe Feststellung gilt auch in Bezug auf die - freilich hypothetische - Behauptung des Beschwerdeführers, er hätte möglicherweise den Tod im bewaffneten Kampf auf Seiten der YPG gefunden, falls er sich diesen tatsächlich angeschlossen hätte, verliess er Syrien doch eigenen Angaben zufolge gerade deswegen, weil seine Familie mit einem entsprechenden Engagement seinerseits nicht einverstanden war (vgl. act. A11/17 S. 9 F und A62 bis 65).</w:t>
      </w:r>
    </w:p>
    <w:p>
      <w:r>
        <w:rPr>
          <w:b/>
        </w:rPr>
        <w:t>E. 5.4</w:t>
      </w:r>
    </w:p>
    <w:p>
      <w:r>
        <w:t>Nach dem Gesagten erscheint es insgesamt nicht glaubhaft, dass der Beschwerdeführer im Zeitpunkt seiner Ausreise aus Syrien eine asylrelevante Verfolgung zu befürchten hatte. Das SEM hat sein Asylgesuch demnach zu Recht abgelehnt.</w:t>
      </w:r>
    </w:p>
    <w:p>
      <w:r>
        <w:rPr>
          <w:b/>
        </w:rPr>
        <w:t>E. 6</w:t>
      </w:r>
    </w:p>
    <w:p>
      <w:r>
        <w:t>Der Beschwerdeführer machte im Rahmen des vorinstanzlichen Verfahrens geltend, sich in der Schweiz exilpolitisch betätigt zu haben. Das SEM hielt diesbezüglich fest, es sei bekannt, dass die syrischen Sicherheitsdienste auch im Ausland aktiv seien und - beispielsweise mittels Infiltration - oppositionelle Kreise aus Syrien überwachen würden. Angesichts der umfangreichen exilpolitischen Betätigungen von syrischen Staatsangehörigen im Ausland sei jedoch davon auszugehen, dass sich die syrischen Geheimdienste auf die Erfassung von Personen konzentrierten, die quaIifizierte Aktivitäten ausüben würden.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ein Asylsuchender aus Sicht des syrischen Regimes als potenzielle Bedrohung wahrgenommen werde (vgl. in diesem Sinne auch die jüngste als Referenzurteil aufgeschaltete Rechtsprechung des Bundesverwaltungsgerichts vom 28. Oktober 2015 [D-3839/2013 E. 6.3.6]). Die vom Beschwerdeführer geltend gemachten exilpolitischen Aktivitäten seien indessen nicht geeignet, eine Furcht vor flüchtlingsrelevanter Verfolgung zu begründen. Der Beschwerdeführer beschränkte sich auf Beschwerdeebene darauf, sich hinsichtlich der Frage seiner Vorverfolgung zu äussern. Demgegenüber brachte er hinsichtlich seiner exilpolitischen Aktivitäten in der Schweiz nichts Neues vor. Deshalb kann hinsichtlich der Frage des Bestehens subjektiver Nachfluchtgründe vollumfänglich auf die soeben wiedergegebenen Ausführungen in der angefochtenen Verfügung verwiesen werden.</w:t>
      </w:r>
    </w:p>
    <w:p>
      <w:r>
        <w:rPr>
          <w:b/>
        </w:rPr>
        <w:t>E. 7</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die weiteren Ausführungen in der Beschwerde nichts zu ändern, weshalb darauf nicht mehr näher einzugehen ist. Unter Berücksichtigung der gesamten Umstände folgt, dass der Beschwerdeführer keine Gründe nach Art. 3 AsylG nachweisen oder glaubhaft machen konnte. Die Vorinstanz hat deshalb zu Recht die Flüchtlingseigenschaft verneint und sein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Schliesslich ist anzumerken, dass sich aus den angestellten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mit Verfügung vom 11. Februar 2015 gestützt auf Art. 83 Abs. 4 des Ausländergesetzes (AuG, SR 142.20) im Rahmen der Anordnung der vorläufigen Aufnahme wegen Unzumutbarkeit des Vollzugs der Wegweisung berücksichtigt wurde.</w:t>
      </w:r>
    </w:p>
    <w:p>
      <w:r>
        <w:rPr>
          <w:b/>
        </w:rPr>
        <w:t>E. 10</w:t>
      </w:r>
    </w:p>
    <w:p>
      <w:r>
        <w:t>Aus diesen Erwägungen ergibt sich, dass der - einzig in den Punkten 1-3 des Dispositivs angefochtene - Asylentscheid des SEM Bundesrecht nicht verletzt sowie den rechtserheblichen Sachverhalt richtig und vollständig feststellt (Art.106 Abs.1 AsylG). Die Beschwerde ist daher abzuweisen.</w:t>
      </w:r>
    </w:p>
    <w:p>
      <w:r>
        <w:rPr>
          <w:b/>
        </w:rPr>
        <w:t>E. 11</w:t>
      </w:r>
    </w:p>
    <w:p>
      <w:r>
        <w:t>Bei diesem Ausgang des Verfahrens sind dessen Kosten dem Beschwerdeführer aufzuerlegen (Art. 63 Abs. 1 VwVG). Dabei ist der vom Beschwerdeführer am 13. April 2015 geleistete Kostenvorschuss in Höhe von Fr. 600.-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