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D-1699/2025 vom 21. August 2025</w:t>
      </w:r>
    </w:p>
    <w:p>
      <w:r>
        <w:t>Bundesverwaltungsgericht, 2025-08-21, DE</w:t>
      </w:r>
    </w:p>
    <w:p>
      <w:r>
        <w:rPr>
          <w:b/>
        </w:rPr>
        <w:t xml:space="preserve">Quelle: </w:t>
      </w:r>
      <w:r>
        <w:t>https://mcp.opencaselaw.ch/entscheid/bvger_D-1699_2025</w:t>
      </w:r>
    </w:p>
    <w:p>
      <w:r>
        <w:t>FR: TAF D-1699/2025 du 21 août 2025</w:t>
      </w:r>
    </w:p>
    <w:p>
      <w:r>
        <w:t>IT: TAF D-1699/2025 del 21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als Verfügungsadressatin zur Beschwerdeführung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 wie nachstehend aufgezeigt - als offensichtlich begründet, weshalb darüber in einzelrichterlicher Zuständigkeit mit Zustimmung eines zweiten Richters beziehungsweise einer zweiten Richterin entschieden wird und das Urteil nur summarisch zu begründen ist (Art. 111 Bst. e sowie Art. 111a Abs. 2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Die Staaten der Europäischen Union (EU) und der Europäischen Freihandelsassoziation (EFTA) gelten als sichere Drittstaaten im Sinne von Art. 6a Abs. 2 Bst. b AsylG (vgl. den - bisher nicht revidierten - Beschluss des Bundesrates vom 14. Dezember 2007).</w:t>
      </w:r>
    </w:p>
    <w:p>
      <w:r>
        <w:rPr>
          <w:b/>
        </w:rPr>
        <w:t>E. 5.3</w:t>
      </w:r>
    </w:p>
    <w:p>
      <w:r>
        <w:t>Der Erlass eines Nichteintretensentscheids setzt in Drittlandkonstellationen gemäss Art. 31a Abs. 1 AsylG zwingend voraus, dass eine Rückübernahmezusicherung des Drittstaats vorliegt (vgl. Urteile des BVGer E-5268/2025 vom 23. Juli 2025 E. 3.2, D-1950/2025 vom 2. April 2025 E. 4.2, D-7483/2024 vom 13. Dezember 2024 E. 6, D-788/2021 vom 25. November 2024 E. 5.2, E-4427/2021 vom 28. November 2023 E. 4.2; Constantin Hruschka, in: Spescha et al. [Hrsg.], Kommentar zum Migrationsrecht, 5. Aufl. 2019, Art. 31a AsylG Rn. 3; siehe auch BBl 2002 6845, 6850).</w:t>
      </w:r>
    </w:p>
    <w:p>
      <w:r>
        <w:rPr>
          <w:b/>
        </w:rPr>
        <w:t>E. 6.1</w:t>
      </w:r>
    </w:p>
    <w:p>
      <w:r>
        <w:t>Vorliegend ist unbestritten, dass das SEM im aktuellen Asylverfahren keine Zusicherung der italienischen Behörden zur Rückübernahme des Beschwerdeführers eingeholt hat. Soweit das SEM darauf verweist, dass bereits im Rahmen des vorangehenden Asylverfahrens im Jahr 2019 eine Rückübernahmezusicherung eingeholt worden sei, ist festzustellen, dass keineswegs davon ausgegangen werden kann, diese sei - nota bene sechs Jahre später - nach wie vor gültig. Der Beschwerdeführer verweist diesbezüglich zu Recht auf Art. 6 Abs. 3 des Abkommens zwischen der Schweizerischen Eidgenossenschaft und der Italienischen Republik über die Rückübernahme von Personen mit unbefugtem Aufenthalt vom 10. September 1998 (SR 0.142.114.549), worin statuiert wird, die Ermächtigung zur Rückübernahme gelte für einen Monat ab dem Zeitpunkt ihrer Bekanntgabe. Die Vorinstanz geht zudem fehl in der Annahme, dass es für den Erlass eines Nichteintretensentscheids gestützt auf Art. 31a Abs. 1 Bst. a AsylG hinreichend sei, dass der Beschwerdeführer selbständig nach Italien zurückkehren könne, da er dort über ein Aufenthaltsrecht verfüge beziehungsweise im Falle von allfälligen aufenthaltsbeendenden Massnahmen bei den zuständigen italienischen Behörden vorstellig zu werden. Die Frage, ob der Beschwerdeführer selbstständig beziehungsweise freiwillig nach Italien zurückkehren könnte - im Sinne der Möglichkeit des Wegweisungsvollzugs (vgl. Art. 83 Abs. 1 und 2 AIG [SR 142.20]) - ist in der vorliegenden Konstellation (Rückkehr in einen sicheren Drittstaat) nicht ausschlaggebend. Massgebend ist vielmehr die tatsächliche Vollzugsmöglichkeit. Diese ist dabei Rechtsmässigkeitsvoraussetzung für den Nichteintretensentscheid. Im Hinblick auf einen rechtskonformen Vollzug der Wegweisung in den Drittstaat ist daher sicherzustellen, dass die asylsuchende Person tatsächlich in diesen einreisen kann (vgl. u.a. Urteil des BVGer E-5268/2025 vom 23. Juli 2025 E. 4.1).</w:t>
      </w:r>
    </w:p>
    <w:p>
      <w:r>
        <w:rPr>
          <w:b/>
        </w:rPr>
        <w:t>E. 6.2</w:t>
      </w:r>
    </w:p>
    <w:p>
      <w:r>
        <w:t>Die Vorinstanz wäre nach dem Gesagten verpflichtet gewesen, bei den italienischen Behörden eine Zusicherung der Rückübernahme des Beschwerdeführers einzuholen oder zumindest abzuklären, ob die im Jahr 2019 abgegebene Rückübernahmezusicherung - entgegen aller Wahr-scheinlichkeit - immer noch gültig ist. Der in Anwendung von Art. 31a Abs. 1 Bst. a AsylG gefällte Nichteintretensentscheid ist daher nicht rechtmässig zustande gekommen. Aufgrund der fehlenden Rückübernahmezusicherung ist der rechtserhebliche Sachverhalt als unvollständig zu erachten (vgl. Urteile des BVGer D-1950/2025 E. 5.3; D-1722/2025 vom 19. März 2025 E. 6.3).</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muss dies aber nicht (vgl. BVGE 2012/21 E. 5).</w:t>
      </w:r>
    </w:p>
    <w:p>
      <w:r>
        <w:rPr>
          <w:b/>
        </w:rPr>
        <w:t>E. 7.2</w:t>
      </w:r>
    </w:p>
    <w:p>
      <w:r>
        <w:t>Aufgrund der vorzunehmenden Sachverhaltsabklärungen ist es angezeigt, die angefochtene Verfügung aufzuheben und die Sache zur vollständigen Sachverhaltsfeststellung (Einholen der erforderlichen Rückübernahmezusicherung bei den zuständigen italienischen Behörden oder zumindest Anfrage betreffend die Gültigkeit der Rückübernahmezusicherung vom 31. Januar 2019) sowie zur neuen Entscheidung an die Vorinstanz zurückzuweisen. Vor diesem Hintergrund erübrigt es sich, auf die weiteren Beschwerdevorbringen, mit denen sich die Vorinstanz gegebenenfalls ebenfalls auseinanderzusetzen haben wird, einzugehen. Die Beschwerde ist somit gutzuheissen.</w:t>
      </w:r>
    </w:p>
    <w:p>
      <w:r>
        <w:rPr>
          <w:b/>
        </w:rPr>
        <w:t>E. 8</w:t>
      </w:r>
    </w:p>
    <w:p>
      <w:r>
        <w:t>Bei diesem Ausgang des Verfahrens sind keine Kosten zu erheben (Art. 63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