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D-1695/2016 vom 30. Mai 2016</w:t>
      </w:r>
    </w:p>
    <w:p>
      <w:r>
        <w:t>Bundesverwaltungsgericht, 2016-05-30, DE</w:t>
      </w:r>
    </w:p>
    <w:p>
      <w:r>
        <w:rPr>
          <w:b/>
        </w:rPr>
        <w:t xml:space="preserve">Quelle: </w:t>
      </w:r>
      <w:r>
        <w:t>https://mcp.opencaselaw.ch/entscheid/bvger_D-1695_2016</w:t>
      </w:r>
    </w:p>
    <w:p>
      <w:r>
        <w:t>FR: TAF D-1695/2016 du 30 mai 2016</w:t>
      </w:r>
    </w:p>
    <w:p>
      <w:r>
        <w:t>IT: TAF D-1695/2016 del 30 maggio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eines Schriftenwechsels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Der Beschwerdeführer brachte vor, nach dem Besuch einer Parteiveranstaltung der Freedom Party ungefähr im Oktober 2006 durch Mitglieder der Awami League entführt und gefoltert und wiederholt aufgefordert worden zu sein, der AL beizutreten. Einige seiner Peiniger seien aus der Nachbarschaft und ihm persönlich bekannt gewesen. Auch nach seiner Flucht nach Indien hätten Anhänger der AL bei seinem Vater weiter nach ihm gefragt. Er habe den Behörden diesen Vorfall nicht angezeigt, weil sein Vater ihm davon abgeraten habe. Die AL sei an der Macht, so dass er keinen Schutz vor den Nachstellungen durch ihre Angehörigen erhalten könne und sich ihm auch keine innerstaatliche Schutzalternative eröffne. Ausserdem könne er in der Schweiz eine bessere medizinische Versorgung erhalten.</w:t>
      </w:r>
    </w:p>
    <w:p>
      <w:r>
        <w:rPr>
          <w:b/>
        </w:rPr>
        <w:t>E. 3.4</w:t>
      </w:r>
    </w:p>
    <w:p>
      <w:r>
        <w:t>Die Vorinstanz hielt die Vorbringen nicht für asylbeachtlich, insbesondere auch, weil es der Beschwerdeführer versäumt habe, sich um den Schutz der Behörden zu bemühen oder den Umzug in einen anderen Landesteil zu erwägen.</w:t>
      </w:r>
    </w:p>
    <w:p>
      <w:r>
        <w:rPr>
          <w:b/>
        </w:rPr>
        <w:t>E. 3.5</w:t>
      </w:r>
    </w:p>
    <w:p>
      <w:r>
        <w:t>Eine Verfolgung durch nichtstaatliche Akteure kann grundsätzlich flüchtlingsrechtlich relevant sein, wenn es der betroffenen Person nicht möglich ist, davor im Heimatstaat adäquaten Schutz zu finden. Die Flüchtlingseigenschaft setzt jedoch auch dann voraus, dass der geltend gemachten Verfolgung oder der staatlichen Schutzverweigerung ein flüchtlingsrechtlich relevantes Motiv gemäss Art. 3 Abs. 1 AsylG (Rasse, Religion, Nationalität, Zugehörigkeit zu einer bestimmten sozialen Gruppe, politische Anschauungen) zugrunde liegt. Nach der sogenannten Schutztheorie ist nichtstaatliche Verfolgung nur dann asylrelevant, wenn der Staat unfähig oder nicht willens ist, Schutz vor besagter Verfolgung zu bieten. Es ist dabei nicht eine faktische Garantie für langfristigen individuellen Schutz der von nichtstaatlicher Verfolgung bedrohten Person zu verlangen, weil es keinem Staat gelingen kann, die absolute Sicherheit seiner Bürgerinnen und Bürger jederzeit und überall zu garantieren. Erforderlich ist aber, dass eine funktionierende und effiziente Schutzinfrastruktur zur Verfügung steht, wobei in erster Linie an polizeiliche Aufgaben wahrnehmende Organe sowie an ein Rechts- und Justizsystem zu denken ist, welches eine effektive Strafverfolgung ermöglicht. Die Inanspruchnahme dieses Schutzsystems muss der betroffenen Person zudem objektiv zugänglich und individuell zumutbar sein, was jeweils im Rahmen einer Einzelfallprüfung unter Berücksichtigung des länderspezifischen Kontexts zu beurteilen ist.</w:t>
      </w:r>
    </w:p>
    <w:p>
      <w:r>
        <w:rPr>
          <w:b/>
        </w:rPr>
        <w:t>E. 3.6</w:t>
      </w:r>
    </w:p>
    <w:p>
      <w:r>
        <w:t>Das Gericht geht mit der Vorinstanz einig, dass dem Beschwerdeführer im Fall einer Rückkehr nach Bangladesch aus den nachfolgenden Er­wä­gungen keine asylbeachtliche Verfolgung droht. Zunächst ist festzuhalten, dass er weder im erstinstanzlichen Verfahren noch auf Beschwerdeebene ein massgebliches politisches Profil substan­ziiert darzulegen vermochte. Er hat sich im Rahmen der Anhörung wieder­holt als grundsätzlich unpolitische Person bezeichnet (vgl. act. A16/17, F. 35, 72, 78, 84). Er will auch nur einmal an einer Veranstaltung der "Free­dom Party" teilgenommen haben. Die sehr allgemein gehaltenen Aus­führungen in der Beschwerde, wonach dem Beschwerdeführer aufgrund seines politischen Profils, welches darin bestehe, als Gegner der Awami League bekannt zu sein, Verfolgung drohe, sind nicht geeignet, seinem kaum konturierten politischen Profil Konturen zu verleihen. Er vermag nach dem Gesagten nicht glaubhaft darzutun, dass er aufgrund einer tatsäch­lichen oder ihm unterstellten politischen Gesinnung verfolgt ist. Der Vorinstanz ist auch dahingehend zuzustimmen, dass der Beschwerde­führer nichts unternommen hat, um den angeblich erlittenen Lynchversuch durch Angehörige der AL bei den lokalen Behörden zur Anzeige zu bringen. Betreffend die Schutzfähigkeit und den Schutzwillen des heimatlichen Staates muss er sich deshalb anlasten lassen, dass er es unterlassen hat, die Behörden über die geltend gemachte Entführung und die Misshand­lungen sowie weitere befürchtete Nachteile zu informieren, womit er ein ange­messenes Handeln des Staates verunmöglichte. Die Inanspruch­nahme der örtlichen Polizei wäre ihm zugänglich und zumutbar gewesen. An die­ser Einschätzung vermögen die allgemeinen, im Beschwerde­verfahren zu den Akten gegebenen Berichte über die Rolle der Awami League in Bangla­desch und die politische Situation nichts zu ändern.</w:t>
      </w:r>
    </w:p>
    <w:p>
      <w:r>
        <w:rPr>
          <w:b/>
        </w:rPr>
        <w:t>E. 3.7</w:t>
      </w:r>
    </w:p>
    <w:p>
      <w:r>
        <w:t>Dem Beschwerdeführer ist es folglich nicht gelungen, nachzuweisen oder glaubhaft zu machen, dass er im Zeitpunkt der Ausreise aus Bangladesch ernsthaften Nachteilen im Sinne von Art. 3 AsylG ausgesetzt war, oder dass er begründete Furcht hat, solche Nachteile im Fall seiner Rückkehr in absehbarer Zukunft mit erheblicher Wahrscheinlichkeit erleiden zu müssen. Die Vorinstanz hat die Flüchtlingseigenschaft mangels Relevanz der Asylvorbringen zu Recht verneint. Er ist nicht schutzbedürftig im Sinne von Art. 3 AsylG, weshalb das SEM das Asylgesuch zu Recht abgelehnt hat.</w:t>
      </w:r>
    </w:p>
    <w:p>
      <w:r>
        <w:rPr>
          <w:b/>
        </w:rPr>
        <w:t>E. 4.1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4.3</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findet der in Art. 5 AsylG verankerte Grundsatz der Nichtrückschiebung im vorliegenden Verfahren keine Anwendung. Eine Rückkehr des Beschwerdeführers nach Bangladesch ist demnach unter dem Aspekt von Art. 5 AsylG rechtmässig. 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Zwar ist die allgemeine Menschenrechtslage in Bangladesch in verschiedener Hinsicht als problematisch zu bezeichnen (vgl. dazu die Ausführungen im Referenzurteil des Bundesverwaltungsgerichts D-3778/2013 vom 16. Juli 2015, E. 7.2.2). Betreffend den Beschwerdeführer ergeben sich jedoch keine gewichtigen Indizien, dass er den heimatlichen Behörden beziehungsweise der Regierung oder der Polizei in spezifischer Weise als verdächtig erscheinen und/oder aufgrund von Anfeindungen durch Anhänger der Awami League für ihn im Falle der Rückkehr eine Gefährdung in einem flüchtlings- oder menschenrechtlich relevanten Ausmass bestehen könnte. Der Vollzug der Wegweisung sowohl im Sinne der asyl- als auch der völkerrechtlichen Bestimmungen zulässig.</w:t>
      </w:r>
    </w:p>
    <w:p>
      <w:r>
        <w:rPr>
          <w:b/>
        </w:rPr>
        <w:t>E. 4.6</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4.7</w:t>
      </w:r>
    </w:p>
    <w:p>
      <w:r>
        <w:t>Das Bundesverwaltungsgericht analysierte im Referenzurteil D-3778/2013 die Lage in Bangladesch und gelangte zum Schluss, es herrsche dort keine Situation allgemeiner Gewalt (vgl. die ausführliche Darstellung im Referenzurteil D-3778/2013, E. 8.4). Allein aufgrund der allgemeinen Situation in Bangladesch ist daher nicht von einer konkreten Gefährdung des Beschwerdeführers auszugehen.</w:t>
      </w:r>
    </w:p>
    <w:p>
      <w:r>
        <w:rPr>
          <w:b/>
        </w:rPr>
        <w:t>E. 4.8</w:t>
      </w:r>
    </w:p>
    <w:p>
      <w:r>
        <w:t>Gesundheitliche Probleme führen praxisgemäss nur dann zur Unzumutbarkeit des Wegweisungsvollzugs, wenn eine notwendige medizinische Behandlung im Heimatland nicht zur Verfügung steht und sich dar-aus eine konkrete Gefährdung für die betroffene Person ergibt. Dabei muss eine allgemeine und dringliche medizinische Behandlung, welche zur Gewährleistung einer menschenwürdigen Existenz absolut notwendig ist, verfügbar sein (vgl. BVGE 2011/24 E.11.1; 2009/28 E.9.3.1;2009/2 E.9.3.2). Demgegenüber liegt noch keine Unzumutbarkeit vor, wenn im Heimatstaat eine dem schweizerischen Standard nicht entsprechende medizinische Behandlung zur Verfügung steht.</w:t>
      </w:r>
    </w:p>
    <w:p>
      <w:r>
        <w:rPr>
          <w:b/>
        </w:rPr>
        <w:t>E. 4.8.1</w:t>
      </w:r>
    </w:p>
    <w:p>
      <w:r>
        <w:t>In der Eingabe vom 17. März 2016 wurde hinsichtlich des Gesundheitszustandes des Beschwerdeführers vorgebracht, er leide an einer schweren [Erkrankung]. Er müsse lebenslang unter ärztlicher Kontrolle die nötigen Medikamente einnehmen, seine Wegweisung sei daher unzumutbar. Der Beschwerdeführer bezieht sich dabei auch auf ein Arztzeugnis vom 25. September 2015, welches der Beschwerde beiliegt und aus dem hervorgeht, dass der Beschwerdeführer lebenslang (...) Medikamente einnehmen muss, deren Einnahme drei- bis viermal monatlich kontrolliert werden muss. Mindestens einmal jährlich sollte ein [Untersuchung] durchgeführt werden und mindestens zweimal pro Jahr eine [Untersuchung] erfolgen. Auch der Blutdruck müsse einmal pro Monat gemessen werden. Bei Einhaltung dieses Behandlungsplans sollte der Gesundheitszustand stabil und ohne Komplikationen bleiben. Falls die Behandlung unterbrochen würde, drohe eine Thrombose. Gemäss Einschätzung des behandelnden Arztes sei eine entsprechende Behandlung im Herkunftsstaat nicht möglich (vgl. Ausführungen in act. A22/9 sowie Ziff. III 2 a - c der angefochtenen Verfügung).</w:t>
      </w:r>
    </w:p>
    <w:p>
      <w:r>
        <w:rPr>
          <w:b/>
        </w:rPr>
        <w:t>E. 4.8.2</w:t>
      </w:r>
    </w:p>
    <w:p>
      <w:r>
        <w:t>Gemäss der Vorinstanz vermöchten die medizinischen Vorbringen des Beschwerdeführers nichts an der Zumutbarkeit des Vollzugs der Wegweisung zu ändern. Amtsinterne Abklärungen hätten ergeben, dass die nötigen blutverdünnenden Medikamente auch in Bangladesch erhältlich seien, wenn es auch andere wären, als das in der Schweiz verordnete [Medikament] (vgl. die Ausführungen im angefochtenen Entscheid, Ziff. III 2 d). Da der Beschwerdeführer selbst vorgetragen habe, aus einer vermögenden Familie zu stammen und über ein weites Beziehungsnetz zu verfügen, sei davon auszugehen, dass er sich die Medikamente leisten könne und nicht in eine medizinische Notlage geraten werde.</w:t>
      </w:r>
    </w:p>
    <w:p>
      <w:r>
        <w:rPr>
          <w:b/>
        </w:rPr>
        <w:t>E. 4.8.3</w:t>
      </w:r>
    </w:p>
    <w:p>
      <w:r>
        <w:t>Das Bundesverwaltungsgericht teilt die Einschätzung der Vor­instanz, wonach sich aus dem medizinischen Vorbringen des Beschwerdeführers keine individuellen Wegweisungsvollzugshindernisse ergeben. Tatsächlich steht dem Vollzug der Wegweisung der Umstand, dass der Beschwerdeführer in der Schweiz bleiben will, weil er die medizinische Betreuung als besser erachtet (so bereits E. 4.8), nicht entgegen. Wie die Vor­instanz ausführlich dargelegt hat, wird der Beschwerdeführer auch in Bangladesch Zugang zur nötigen Behandlung und den blutverdünnenden Medikamenten erhalten können. Dies umso mehr, als er selbst vorgetragen hat, seine Familie sei vermögend und vermiete Häuser (vgl. act. A5/12, F. 02). Bei dieser Ausgangslage geht auch das Bundesverwaltungsgericht davon aus, dass er sich die nötigen Medikamente wird beschaffen können und er oder seine Familie für die ärztliche Behandlung wird aufkommen können. Auch der in der Beschwerdeschrift aufgeworfene Einwand, in Bangladesch herrsche Korruption und wären gefälschte Medikamente im Umlauf, vermag diese Einschätzung nicht zu erschüttern.</w:t>
      </w:r>
    </w:p>
    <w:p>
      <w:r>
        <w:rPr>
          <w:b/>
        </w:rPr>
        <w:t>E. 4.9</w:t>
      </w:r>
    </w:p>
    <w:p>
      <w:r>
        <w:t>Nach dem Gesagten erweist sich der Vollzug der Wegweisung auch als zumutbar.</w:t>
      </w:r>
    </w:p>
    <w:p>
      <w:r>
        <w:rPr>
          <w:b/>
        </w:rPr>
        <w:t>E. 4.10</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4.11</w:t>
      </w:r>
    </w:p>
    <w:p>
      <w:r>
        <w:t>Zusammenfassend hat die Vorinstanz den Wegweisungsvollzug zu Recht als zulässig, zumutbar und möglich bezeichnet. Eine Anordnung der vorläufigen Aufnahme fällt somit ausser Betracht (Art. 83 Abs. 1-4 AuG).</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bereits einbezahlte Kostenvorschuss in gleicher Höhe wird zur Deckung dieser 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