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D-1695/2011 vom 30. März 2011</w:t>
      </w:r>
    </w:p>
    <w:p>
      <w:r>
        <w:t>Bundesverwaltungsgericht, 2011-03-30, DE</w:t>
      </w:r>
    </w:p>
    <w:p>
      <w:r>
        <w:rPr>
          <w:b/>
        </w:rPr>
        <w:t xml:space="preserve">Quelle: </w:t>
      </w:r>
      <w:r>
        <w:t>https://mcp.opencaselaw.ch/entscheid/bvger_D-1695_2011</w:t>
      </w:r>
    </w:p>
    <w:p>
      <w:r>
        <w:t>FR: TAF D-1695/2011 du 30 mars 2011</w:t>
      </w:r>
    </w:p>
    <w:p>
      <w:r>
        <w:t>IT: TAF D-1695/2011 del 30 marzo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 vorbehältlich der nachfolgenden Erwägung - einzutreten.</w:t>
      </w:r>
    </w:p>
    <w:p>
      <w:r>
        <w:rPr>
          <w:b/>
        </w:rPr>
        <w:t>E. 1.4</w:t>
      </w:r>
    </w:p>
    <w:p>
      <w:r>
        <w:t>Gemäss der angefochtenen Verfügung wurden dem Beschwerdeführer die editionspflichtigen Akten gemäss Aktenverzeichnis (Personalienblatt, EURODAC-Treffer, Kurzbefragungsprotokoll, Protokoll des rechtlichen Gehörs, Verfristungsschreiben, Originalverfügung) eröffnet (inklusive einer Kopie des Aktenverzeichnisses). Der Rechtsvertreter des Beschwerdeführers hat in der Beschwerdeschrift nicht spezifiziert, welche Aktenstücke ihm - beziehungsweise dem Beschwerdeführer - zu Unrecht nicht eröffnet worden sind, weswegen davon auszugehen ist, die editionspflichtigen Akten seien korrekt eröffnet worden. Daher ist auf das Begehren des Beschwerdeführers, es seien ihm die bisherigen Verfahrensakten zur Einsichtnahme zu überlassen, unter gleichzeitiger Ansetzung einer angemessenen Frist zur Ergänzung der Beschwerde,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verpflichte sich die Schweiz, die Dublin-II-VO anzuwenden. Diese enthalte Kriterien, um denjenigen Dublin-Staat zu bestimmen, der zuständig sei, das Asyl- und Wegweisungsverfahren durchzuführen. Der Abgleich der Fingerabdrücke mit der Zentraleinheit EURODAC weise nach, dass der Beschwerdeführer am 13. Mai 2008 in Frankreich ein Asylgesuch eingereicht habe. Die französischen Behörden hätten innerhalb der festgelegten Frist zum Übernahmeersuchen des BFM keine Stellung genommen. Somit liege gemäss DAA und unter Anwendung von Art. 20 Abs. 1 Bst. c Dublin-II-VO die Zuständigkeit, das Asyl- und Wegweisungsverfahren durchzuführen, bei Frankreich. Der Beschwerdeführer habe anlässlich der Gewährung des rechtlichen Gehörs zur Zuständigkeit Frankreichs keine Stellung genommen, ausser dass er sich gefragt habe, wie er dorthin zurück könne, da man ihm gesagt habe, er müsse Frankreich verlassen. Die Überstellung nach Frankreich habe - vorbehältlich einer allfälligen Unterbrechung oder Verlängerung der Überstellungsfrist (Art. 19 f. Dublin-II-VO) - bis spätestens am 1. September 2011 zu erfolgen.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Frankreich. Weder die in Frankreich herrschende Situation noch andere Gründe sprächen gegen die Zumutbarkeit der Wegweisung in diesen Staat. Ausserdem sei der Vollzug der Wegweisung technisch möglich und praktisch durchführbar. Schliesslich hätten Beschwerden gegen Nichteintretensentscheide gemäss Art. 34 Abs. 2 Bst. d AsylG gestützt auf Art. 107a AsylG keine aufschiebende Wirkung.</w:t>
      </w:r>
    </w:p>
    <w:p>
      <w:r>
        <w:rPr>
          <w:b/>
        </w:rPr>
        <w:t>E. 5.3</w:t>
      </w:r>
    </w:p>
    <w:p>
      <w:r>
        <w:t>Aus den Akten ergibt sich, dass der Beschwerdeführer am 13. Mai 2008 in Frankreich daktyloskopisch registriert wurde und er dort am selben Tag ein Asylgesuch einreichte (vgl. Akten BFM A 3/1). Der Beschwerdeführer macht in der Rechtsmittelschrift geltend, er sei im Januar 2009 mit einem gefälschten Pass via Indien in sein Heimatland zurückgekehrt, wo er sich bis zu seiner Reise in die Schweiz unter anderem in einem Flüchtlingscamp aufgehalten habe. Er führt damit sinngemäss an, die Zuständigkeit Frankreichs für die Wiederaufnahme seiner Person sei erloschen, da er das Hoheitsgebiet der Mitgliedstaaten für mindestens drei Monate verlassen habe (vgl. Art. 4 Abs. 5 letzter Satz beziehungsweise Art. 16 Abs. 3 Dublin-II-VO). Bei Wiederaufnahmeverfahren werden an den Nachweis, dass ein Asylbewerber für mindestens drei Monate das Hoheitsgebiet der Mitgliedstaaten verlassen habe, erhöhte Anforderungen gestellt (vgl. Christian Filzwieser/Andrea Sprung, Dublin II-Verord­nung, 3. Aufl., Wien/Graz 2010, K 23 f. zu Art. 16, S. 134 ff.). Das Erlöschen der Zuständigkeit eines Mitgliedstaates kann ausschliesslich aufgrund von Tatsachenbeweisen oder umfassenden und nachprüfbaren Erklärungen des Asylbewerbers geltend gemacht werden (Art. 4 zweiter Satz der Verordnung [EG] Nr. 1560/2003 der Kommission vom 2. September 2003 mit Durchführungsbestimmungen zur Verordnung [EG] Nr. 343/2003 des Rates [DVO Dublin]). Die Behauptung des Beschwerdeführers, er habe Frankreich im Januar 2009 verlassen und sei in sein Heimatland zurückgekehrt, ist schon deshalb als unglaubhaft zu beurteilen, da er anlässlich der Gewährung des rechtlichen Gehörs vom 21. Dezember 2010 zu Protokoll gab, sich von Mai 2008 bis einen Tag vor seiner Einreise in die Schweiz in "F._______" (Frankreich) aufgehalten zu haben (Akten BFM A 4/4, S. 1). Der Beschwerdeführer hat sich bei seinen unterschriftlich genehmigten Aussagen behaften zu lassen. Entgegen dem Vorbringen in der Rechtsmittelschrift ist daher davon auszugehen, dass sich der Beschwerdeführer bis zu seiner Ankunft in der Schweiz ununterbrochen in Frankreich aufhielt. Aufgrund der offensichtlichen Unglaubhaf­tigkeit der geltend gemachten Rückkehr nach Sri Lanka im Januar 2009 kann darauf verzichtet werden, die vom Beschwerdeführer in der Rechtsmittelschrift in Aussicht gestellten Bestätigungen über seinen Aufenthalt im Flüchtlingscamp und in Sri Lanka abzuwarten (antizipierte Beweiswürdigung: vgl. BVGE 2008/24 E. 7.2 S. 357, André Moser/Michael Beusch/Lorenz Kneubühler, Prozessieren vor dem Bundesverwaltungsgericht, Basel 2008, S. 165 Rz. 3.144), weswegen der in der Beschwerde geltend gemachte Antrag des Beschwerdeführers, es sei ihm eine angemessene Frist zur Beibringung von solchen Belegen anzusetzen, abzuweisen ist. Da das BFM die französischen Behörden am 14. Februar 2011 um Wiederaufnahme des Beschwerdeführers gemäss Art. 16 Abs. 1 Bst. e Dublin-II-VO ersuchte und diese die Frist zur Stellungnahme ungenutzt verstreichen liessen, liegt angesichts der Ver­fristung eine stillschweigende Zusage zur Rückübernahme des Beschwerdeführers gemäss Art. 20 Abs. 1 Bst. c Dublin-II-VO vor, weshalb der Beschwerdeführer somit ohne Weiteres in den Dublin-Staat Frankreich ausreisen kann, welcher staatsvertraglich zuständig ist. Frankreich ist unter anderem Signatarstaat der EMRK, des Abkommens vom 28. Juli 1951 über die Rechtsstellung der Flüchtlinge (FK, SR 0.142.30) und des Übereinkommens vom 10. Dezember 1984 gegen Folter und andere grausame, unmenschliche oder erniedrigende Behandlung oder Strafe (FoK, SR 0.105). Zudem kann auch auf die spezifischen völkerrechtlichen Verpflichtungen Frankreichs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Frankreich würde sich im Falle des Beschwerdeführers nicht an die aus diesen Übereinkommen resultierenden Verpflichtungen, insbesondere das Rückschiebungsverbot oder die einschlägigen Normen der EMRK, halten. An dieser Einschätzung ändert auch der anlässlich der Gewährung des rechtlichen Gehörs vom 21. Dezember 2010 geäusserte Einwand des Beschwerdeführers nichts, die französischen Behörden hätten ihm gesagt, er müsse Frankreich verlassen. Da es im vorliegenden Verfahren lediglich darum geht, die Voraussetzungen einer Rückführung nach Frankreich im Rahmen der Dublin-II-VO zu prüfen, ist auf die Vorbringen in Bezug auf die den Beschwerdeführer angeblich in Sri Lanka drohenden Widrigkeiten nicht einzugehen. Daher ist auch der in der Rechtsmittelschrift erhobene Beweisantrag, es sei ein gerichtsmedizinisches Gutachten zu den Verletzungen des Beschwerdeführers und zu deren Ursachen einzuholen, abzuweisen. Aus dem gleichen Grund kann darauf verzichtet werden, die Akten des vom Beschwerdeführer in Frankreich durchlaufenen Asylverfahrens beizuziehen, diese dem Beschwerdeführer zur Einsichtnahme zuzustellen und ihm Frist zur Beschwerdeergänzung anzusetzen, weshalb auch der diesbezügliche Antrag abzuweisen ist. Nach dem Gesagten ist schliesslich der Antrag des Beschwerdeführers, es sei ihm die Frist für die Beschwerdebegründung angemessen zu erstrecken, abzuweisen. Angesichts der gesamten Umstände erweist sich der Vollzug der Wegweisung nach Frankreich in Berücksichtigung der entscheidrelevanten Aspekte - insbesondere unter dem Blickwinkel von Art. 3 EMRK - als zulässig und zumutbar, weshalb vorliegend - entgegen der Auffassung des Beschwerdeführers - kein Anlass zum Selbsteintritt besteht.</w:t>
      </w:r>
    </w:p>
    <w:p>
      <w:r>
        <w:rPr>
          <w:b/>
        </w:rPr>
        <w:t>E. 5.4</w:t>
      </w:r>
    </w:p>
    <w:p>
      <w:r>
        <w:t>Nach dem Gesagten erübrigt es sich, auf die Ausführungen und Einwände in der Beschwerde im Einzelnen weiter einzugehen, da sie am Ergebnis nichts ändern. Das BFM ist in Anwendung von Art. 34 Abs. 2 Bst. d AsylG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Nichteintretensent­scheids (vgl. Urteil des Bundesverwaltungsgerichts E-5644/2009 vom 31. August 2010 E. 10.2).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Frankreich zu bestätigen.</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8</w:t>
      </w:r>
    </w:p>
    <w:p>
      <w:r>
        <w:t>Mit dem Urteil in der Hauptsache ist das Gesuch um Erteilung der aufschiebenden Wirkung der Beschwerde gegenstandslos geworden.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