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D-1690/2025 vom 28. Februar 2025</w:t>
      </w:r>
    </w:p>
    <w:p>
      <w:r>
        <w:t>Bundesverwaltungsgericht, 2025-02-28, DE</w:t>
      </w:r>
    </w:p>
    <w:p>
      <w:r>
        <w:rPr>
          <w:b/>
        </w:rPr>
        <w:t xml:space="preserve">Quelle: </w:t>
      </w:r>
      <w:r>
        <w:t>https://mcp.opencaselaw.ch/entscheid/bvger_D-1690_2025_d20250228</w:t>
      </w:r>
    </w:p>
    <w:p>
      <w:r>
        <w:t>FR: TAF D-1690/2025 du 28 février 2025</w:t>
      </w:r>
    </w:p>
    <w:p>
      <w:r>
        <w:t>IT: TAF D-1690/2025 del 28 febbraio 2025</w:t>
      </w:r>
    </w:p>
    <w:p>
      <w:pPr>
        <w:pStyle w:val="Heading2"/>
      </w:pPr>
      <w:r>
        <w:t>Regeste</w:t>
      </w:r>
    </w:p>
    <w:p>
      <w:r>
        <w:t>Asyl und Wegweisung (beschleunigtes Verfahren) | Asyl und Wegweisung (beschleunigtes Verfahren); Verfügung des SEM vom 28. Februar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eine Verletzung der Untersuchungspflicht und beantragt aus diesem Grund die Rückweisung der Sache an die Vor- instanz. Zur Begründung führt er aus, die Vorinstanz gehe bei ihrer Argu- mentation nicht auf die bevorstehenden Gesetzesänderungen, die daraus</w:t>
      </w:r>
    </w:p>
    <w:p>
      <w:r>
        <w:t>D-1690/2025 Seite 5 resultierende Kriminalisierung und zivile Schlechterstellung von «queeren» Menschen in der Türkei ein.</w:t>
      </w:r>
    </w:p>
    <w:p>
      <w:r>
        <w:rPr>
          <w:b/>
        </w:rPr>
        <w:t>E. 4.2</w:t>
      </w:r>
    </w:p>
    <w:p>
      <w:r>
        <w:t>Bezüglich der geltend gemachten Gesetzesänderung ist der Be- schwerdeschrift zu entnehmen, dass es sich um einen vorläufigen Entwurf handelt. Der Beschwerdeführer legt sodann nicht dar – und es ist auch nicht ersichtlich –, inwiefern der Sachverhalt diesbezüglich in seinem kon- kreten Fall unvollständig abgeklärt worden sein soll. Die entsprechende Rüge der Verletzung des Untersuchungsgrundsatzes erweist sich damit als unbegründet; der Rückweisungsantrag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die Ablehnung des Asylentscheids damit, dass die Vorbringen des Beschwerdeführers den Anforderungen von Art. 3 AsylG an die Flüchtlingseigenschaft nicht standhielten. Bei den erlebten Behelligungen aufgrund seiner Homosexualität, seines Aussehens uns sei- ner Religion handle es sich um Übergriffe von Drittpersonen. Diese stellten grundsätzlich keine Verfolgung im Sinne des Asylgesetzes dar. Eine solche liege nur vor, sofern der Heimatstaat keinen angemessenen Schutz bieten könne. In der Türkei sei eine funktionierende und effiziente Schutzinfra- struktur vorhanden, und die türkischen Behörden seien grundsätzlich auch schutzwillig; insbesondere auch in Bezug auf Benachteiligungen aufgrund</w:t>
      </w:r>
    </w:p>
    <w:p>
      <w:r>
        <w:t>D-1690/2025 Seite 6 von Bi- oder Homosexualität. Es wäre dem Beschwerdeführer zuzumuten gewesen, sich an die Polizei zu wenden. Hinsichtlich der Einschränkung in der Ausübung des Glaubens durch seine Familie wäre es ihm ausserdem ohne weiteres möglich gewesen, von zu Hause wegzuziehen. Weiter handle es sich bei den Erlebnissen anlässlich der LGBT-Märsche nicht um eine gezielt gegen ihn gerichtete Massnahme, zumal er auch nicht geltend gemacht habe, dass er im Nachhinein aufgrund seiner Teilnahme irgend- welche Probleme mit den türkischen Behörden gehabt habe. Zuletzt sei zum aktuellen Zeitpunkt auch noch offen, ob er den Militärdienst überhaupt antreten müsste, zumal es für homosexuelle Männer in der Türkei möglich sei, sich freistellen zu lassen.</w:t>
      </w:r>
    </w:p>
    <w:p>
      <w:r>
        <w:rPr>
          <w:b/>
        </w:rPr>
        <w:t>E. 6.2</w:t>
      </w:r>
    </w:p>
    <w:p>
      <w:r>
        <w:t>In der Beschwerdeschrift entgegnete der Beschwerdeführer, er sei auf- grund seines femininen Erscheinungsbildes und seiner Bisexualität in Kombination mit seiner Konversion zum Christentum massiven Ächtungen und Verfolgung in Form von Schikanen, Beleidigungen, Tätlichkeiten und Inhaftierung ausgesetzt. In der Haft sei er von der Polizei mit Schlagstö- cken verprügelt worden. Verbotene Demonstrationen würden mit Polizei- gewalt aufgelöst. Weiter sei vorgesehen, dass der Artikel 225 des türki- schen Strafgesetzbuches geändert werden solle. Cross-Dresser, Verhal- tensweisen, Ausdrücke, Kleidungsvorlieben und Formen der Ansprache, die mit einem anderen als dem biologischen Geschlecht identifiziert wür- den, würden mit Freiheitsstrafen von einem bis zu drei Jahren sanktioniert. So würde bestraft, wer als Mann einen Rock oder Make-Up trage, oder als Frau einen männlichen Namen trage. Aufgrund dieser künftigen Gesetzes- änderung sei ihm ein Leben in Würde und Freiheit in seinem Heimatland nicht mehr möglich. Er sei damit einem unerträglichen psychischen Druck ausgesetzt und der türkische Staat sei nicht mehr schutzwillig. Aufgrund der Gesetzesänderung seien auch Aufenthaltsalternativen im Heimatland ausgeschlossen. Weiter werde für die Freistellung vom Militärdienst ver- langt, dass die Homosexualität durch intime Bildaufnahmen bewiesen werde, was einen schwerwiegenden Eingriff in die Privatsphäre darstelle. Ohne entsprechende Beweise werde er ungeachtet der persönlichen Situ- ation zum Militärdienst eingezogen, wo er seine christliche Religion nicht ausüben könne und er möglicherweise Misshandlungen, Gewalt oder Mob- bing durch Vorgesetze ausgesetzt wäre. Zuletzt würde auch die obligatori- sche Haarrasur erneut erhebliche psychische und emotionale Belastung bei ihm auslösen.</w:t>
      </w:r>
    </w:p>
    <w:p>
      <w:r>
        <w:t>D-1690/2025 Seite 7</w:t>
      </w:r>
    </w:p>
    <w:p>
      <w:r>
        <w:rPr>
          <w:b/>
        </w:rPr>
        <w:t>E. 7.1</w:t>
      </w:r>
    </w:p>
    <w:p>
      <w:r>
        <w:t>Die Vorinstanz ist in der angefochtenen Verfügung mit überzeugender Begründung zum Schluss gelangt, dass die Vorbringen des Beschwerde- führers den Anforderungen von Art. 3 AsylG an die Flüchtlingseigenschaft nicht standhalten. Die Beschwerdevorbringen sind insgesamt nicht geeig- net, zu einer anderen Beurteilung zu führen. Zur Vermeidung von Wieder- holungen kann daher mit den nachfolgenden Ergänzungen auf die zutref- fenden Ausführungen der Vorinstanz in der angefochtenen Verfügung ver- wiesen werden (vgl. oben E. 6.1, SEM-Akte A21 Ziff. II).</w:t>
      </w:r>
    </w:p>
    <w:p>
      <w:r>
        <w:rPr>
          <w:b/>
        </w:rPr>
        <w:t>E. 7.2</w:t>
      </w:r>
    </w:p>
    <w:p>
      <w:r>
        <w:t>Es ist festzuhalten, dass die vom Beschwerdeführer geltend gemachte Bi- oder Homosexualität im Länderkontext Türkei für die Begründung der Flüchtlingseigenschaft nicht hinreichend ist (vgl. Urteil des BVGer D-4039/2020 vom 17. November 2020 E. 7.7). Das Bundesverwaltungsge- richt hat sich in den letzten Jahren wiederholt mit der Schutzfähigkeit und dem Schutzwillen der türkischen Behörden betreffend Personen, die der LGBTQI+-Gemeinschaft angehören, auseinandergesetzt. Dabei geht es grundsätzlich davon aus, dass die türkischen Behörden auch hinsichtlich bi- oder homosexueller Personen schutzfähig und schutzwillig sind (vgl. zuletzt Urteil des BVGer D-5566/2024 vom 1. November 2024 S. 9). Dem Beschwerdeführer ist es deshalb zuzumuten, sich wenn nötig schutzsu- chend an die heimatlichen Behörden zu wenden. Dies gilt auch für die an- geblich erlittenen Schläge im Zusammenhang mit seiner Festnahme. Sollte eine Polizeibehörde, wie vom Beschwerdeführer befürchtet, eine Strafan- zeige nicht an die Hand nehmen, wäre er gehalten, den Rechtsweg zu be- schreiten. Auch die aktuellsten Entwicklungen in Bezug auf die Lage der LGBTIQ-Community in der Türkei erschwert hat, ändern dies nichts daran, dass Homosexualität in der Türkei legal ist und auch nicht von einer gene- rellen Verfolgung von Homosexuellen ausgegangen werden kann (vgl. dazu zuletzt Urteil D-8083/24 vom 26. Februar 2025 E. 6.1 m.w.H.). Daran vermag die angeführte allfällige Gesetzesrevision nichts zu ändern. Schliesslich ist nicht ersichtlich, inwiefern der Beschwerdeführer überhaupt durch den genannten Gesetzesentwurf aktuell betroffen wäre.</w:t>
      </w:r>
    </w:p>
    <w:p>
      <w:r>
        <w:rPr>
          <w:b/>
        </w:rPr>
        <w:t>E. 7.3</w:t>
      </w:r>
    </w:p>
    <w:p>
      <w:r>
        <w:t>Die türkische Verfassung garantiert die Religionsfreiheit im Sinne einer individuellen Bekenntnisfreiheit. Auch in der Praxis gewährleistet der türki- sche Staat die individuelle Glaubens- und Religionsfreiheit weitestgehend und die christliche Bevölkerung ist keiner Verfolgung im Sinne von Art. 3 AsylG ausgesetzt (vgl. Urteile BVGer D-2735/2013 vom 25. Oktober 2013 E. 7.4 sowie D-4477/2016 vom 24. April 2018 E. 4.1 m.w.H.). Die pauschal geltend gemachten Diskriminierungen des Beschwerdeführers in der</w:t>
      </w:r>
    </w:p>
    <w:p>
      <w:r>
        <w:t>D-1690/2025 Seite 8 Türkei gehen mangels Intensität nicht über die Nachteile hinaus, die weite Teile der christlichen Bevölkerung treffen können, womit sie mangels Ge- zieltheit nicht als im Sinne des Gesetzes ernsthaft zu qualifizieren und da- mit flüchtlingsrechtlich nicht relevant sind (vgl. Urteil des BVGer D-1170/2025 vom 1. März 2025 S. 3. m.w.H.). Hinsichtlich einer allfälligen Benachteiligung durch nichtstaatliche Dritte ist auf die bereits oben festge- stellte Schutzfähigkeit und Schutzwilligkeit der türkischen Strafverfolgungs- und Justizbehörden zu verweisen. Nach dem Gesagten vermag der Be- schwerdeführer auch mit der unterdessen erfolgten Taufe keine flüchtlings- rechtlich relevante Gefährdung zu begründen.</w:t>
      </w:r>
    </w:p>
    <w:p>
      <w:r>
        <w:rPr>
          <w:b/>
        </w:rPr>
        <w:t>E. 7.4</w:t>
      </w:r>
    </w:p>
    <w:p>
      <w:r>
        <w:t>Hinsichtlich des Militärdienstes ist in Übereinstimmung mit der Vor- instanz festzuhalten, dass zum heutigen Zeitpunkt noch offen ist, ob der Beschwerdeführer diesen überhaupt antreten muss. Soweit er geltend macht, ihm sei die Ausübung seines christlichen Glaubens im Militär nicht möglich und es würden ihm sogar Misshandlungen drohen, ist nicht ersicht- lich; die Akten enthalten hierzu keinerlei Hinweise, weshalb von unbelegt gebliebenen Mutmassungen auszugehen ist. Insgesamt vermag er mit der Militärdienstpflicht – auch unter Berücksichtigung der obligatorischen Haar- rasur – eine objektive Furcht vor flüchtlingsrechtlich relevanter Verfolgung nicht zu begründen.</w:t>
      </w:r>
    </w:p>
    <w:p>
      <w:r>
        <w:rPr>
          <w:b/>
        </w:rPr>
        <w:t>E. 7.5</w:t>
      </w:r>
    </w:p>
    <w:p>
      <w:r>
        <w:t>Zusammenfassend bestehen keine Hinweise dafür, dass der Be- schwerdeführer im Zeitpunkt seiner Ausreise aus der Türkei einer asylbe- achtlichen Verfolgung oder einer entsprechenden Verfolgungsgefahr aus- gesetzt gewesen wäre oder im Falle einer Rückkehr ernsthafte Nachteile im Sinne von Art. 3 AsylG zu gewärtigen hätte. Das SEM hat demnach die Flüchtlingseigenschaft des Beschwerdeführers zu Recht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D-1690/2025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 führers noch aus den Akten Anhaltspunkte dafür, dass er für den Fall einer</w:t>
      </w:r>
    </w:p>
    <w:p>
      <w:r>
        <w:t>D-1690/2025 Seite 10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Gemäss konstanter Praxis des Bundesverwaltungsgerichts ist in der Türkei nicht von einer Situation allgemeiner Gewalt oder bürgerkriegsähn- lichen Verhältnissen auszugehen (vgl. Referenzurteil BVGer E-4103/2024 vom 8. November 2024, E. 13 m.w.H.).</w:t>
      </w:r>
    </w:p>
    <w:p>
      <w:r>
        <w:rPr>
          <w:b/>
        </w:rPr>
        <w:t>E. 9.3.3</w:t>
      </w:r>
    </w:p>
    <w:p>
      <w:r>
        <w:t>Zudem lassen auch keine individuellen Gründe wirtschaftlicher oder sozialer Natur auf eine konkrete Gefährdung des Beschwerdeführers in seinem Heimatstaat schliessen. Er ist jung und verfügt über eine (…) Schulbildung sowie Arbeitserfahrung in der (…) und als (…). Mit seiner un- belegt gebliebenen Behauptung, wonach es ihm aufgrund der homopho- ben Stimmung in der Türkei nicht möglich sei, legal zu arbeiten, vermag er das Gericht nicht zu überzeugen, zumal keine Hinweise ersichtlich sind, weshalb es ihm nicht möglich sein sollte, erneut in (…)zu arbeiten und sich damit zu finanzieren. Aus dem nicht näher substantiierten Einwand, er könne nicht zu seiner Mutter zurückkehr, weil diese weder seinen Glauben noch seine Homosexualität akzeptiere, vermag er nichts zu seinen Guns- ten abzuleiten. Es ist ihm generell zuzumuten, in eine andere Region als</w:t>
      </w:r>
    </w:p>
    <w:p>
      <w:r>
        <w:t>D-1690/2025 Seite 11 seine Herkunftsregion in der Türkei zu ziehen, sollte er aufgrund seiner sexuellen Orientierung oder seines christlichen Glaubens einem gewissen Druck in seinem sozialen Umfeld oder anderen Unannehmlichkeiten aus- gesetzt sein. Zuletzt stellen auch seine geltend gemachten gesundheitli- chen Probleme ((…)) kein Vollzugshindernis dar. Somit ist nicht anzuneh- men, dass der Beschwerdeführer bei seiner Rückkehr in seinen Heimat- staat in eine existenzbedrohende Situation geraten würde. Der Vollzug der Wegweisung erweist sich demnach auch als zumutbar.</w:t>
      </w:r>
    </w:p>
    <w:p>
      <w:r>
        <w:rPr>
          <w:b/>
        </w:rPr>
        <w:t>E. 9.4</w:t>
      </w:r>
    </w:p>
    <w:p>
      <w:r>
        <w:t>Der Beschwerdeführer verfügt über eine bis ins Jahr (…) gültige Iden- titätskarte und es obliegt ihm, sich allenfalls weitere Reisedokumente bei der zuständigen Vertretung des Heimatstaates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Antrag auf den Verzicht der Erhebung eines Kostenvorschusses wird mit dem vorliegenden Urteil gegenstandslos.</w:t>
      </w:r>
    </w:p>
    <w:p>
      <w:r>
        <w:rPr>
          <w:b/>
        </w:rPr>
        <w:t>E. 11.2</w:t>
      </w:r>
    </w:p>
    <w:p>
      <w:r>
        <w:t>Die Beschwerde ist angesichts der vorstehenden Erwägungen als aussichtslos zu qualifizieren. Das Gesuch um Gewährung der unentgeltli- chen Prozessführung im Sinne von Art. 65 Abs. 1 VwVG ist deshalb unge- achtet der geltend gemachten – jedoch nicht belegten – prozessualen Be- dürftigkeit abzuweisen.</w:t>
      </w:r>
    </w:p>
    <w:p>
      <w:r>
        <w:rPr>
          <w:b/>
        </w:rPr>
        <w:t>E. 11.3</w:t>
      </w:r>
    </w:p>
    <w:p>
      <w:r>
        <w:t>Bei diesem Ausgang des Verfahrens sind die Kosten dem Be- schwerdeführer aufzuerlegen (Art. 63 Abs. 1 VwVG) und auf insgesamt Fr. 750.– festzusetzen (Art. 1–3 des Reglements vom 21. Februar 2008 über die Kosten und Entschädigungen vor dem Bundesverwaltungsgericht [VGKE, SR 173.320.2]).</w:t>
      </w:r>
    </w:p>
    <w:p>
      <w:r>
        <w:t>D-1690/2025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