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D-1690/2020 vom 22. April 2021</w:t>
      </w:r>
    </w:p>
    <w:p>
      <w:r>
        <w:t>Bundesverwaltungsgericht, 2021-04-22, DE</w:t>
      </w:r>
    </w:p>
    <w:p>
      <w:r>
        <w:rPr>
          <w:b/>
        </w:rPr>
        <w:t xml:space="preserve">Quelle: </w:t>
      </w:r>
      <w:r>
        <w:t>https://mcp.opencaselaw.ch/entscheid/bvger_D-1690_2020</w:t>
      </w:r>
    </w:p>
    <w:p>
      <w:r>
        <w:t>FR: TAF D-1690/2020 du 22 avril 2021</w:t>
      </w:r>
    </w:p>
    <w:p>
      <w:r>
        <w:t>IT: TAF D-1690/2020 del 22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vorbehältlich nachfolgender Einschränkungen, einzutreten.</w:t>
      </w:r>
    </w:p>
    <w:p>
      <w:r>
        <w:rPr>
          <w:b/>
        </w:rPr>
        <w:t>E. 2.1</w:t>
      </w:r>
    </w:p>
    <w:p>
      <w:r>
        <w:t>Im Zusammenhang mit der Spruchkörperbildung beantragt der Beschwerdeführer, dass Auskunft darüber zu erteilen sei, ob in den Automatismus der Spruchkörperbildung eingegriffen wurde.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diesen Antrag ist daher nicht einzutreten. Bei dieser Ausgangslage ist auch auf den weiteren Teilantrag, im Falle eines Eingriffs die objektiven Kriterien bekannt zu geben, nicht einzutreten (vgl. statt vieler: Urteil des BVGer E-2110/2020 vom 11. Juni 2020 E. 2). Soweit darüber hinaus um Bekanntgabe der Person, die diese Auswahl getroffen hat, ersucht wird, ist auf diesen Antrag ebenfalls nicht einzutreten, da dieses Auskunftsersuchen in engem Zusammenhang mit den vorstehend erwähnten Anträgen steht beziehungsweise deren vorgängige Behandlung bedingt (vgl. Urteil des BVGer E-3931/2020 vom 22. März 2021 E. 3).</w:t>
      </w:r>
    </w:p>
    <w:p>
      <w:r>
        <w:rPr>
          <w:b/>
        </w:rPr>
        <w:t>E. 2.2</w:t>
      </w:r>
    </w:p>
    <w:p>
      <w:r>
        <w:t>Der Antrag auf Bekanntgabe des Spruchgremiums ist - soweit diesem nicht bereits in der Instruktionsverfügung vom 1. April 2020 entsprochen wurde - mit vorliegendem Urteil gegenstandslos geworden.</w:t>
      </w:r>
    </w:p>
    <w:p>
      <w:r>
        <w:rPr>
          <w:b/>
        </w:rPr>
        <w:t>E. 3</w:t>
      </w:r>
    </w:p>
    <w:p>
      <w:r>
        <w:t>Die Kognition des Bundesverwaltungsgerichts und die zulässigen Rügen richten sich im Asylbereich nach Art. 106 Abs. 1 AsylG, im Bereich des Ausländerrechts nach Art. 49 VwVG (vgl. BVGE 2014726 E. 5).</w:t>
      </w:r>
    </w:p>
    <w:p>
      <w:r>
        <w:rPr>
          <w:b/>
        </w:rPr>
        <w:t>E. 4</w:t>
      </w:r>
    </w:p>
    <w:p>
      <w:r>
        <w:t>Gestützt auf Art. 111a Abs. 1 AsylG wurde auf die Durchführung eines Schriftenwechsels verzichtet.</w:t>
      </w:r>
    </w:p>
    <w:p>
      <w:r>
        <w:rPr>
          <w:b/>
        </w:rPr>
        <w:t>E. 5.1</w:t>
      </w:r>
    </w:p>
    <w:p>
      <w:r>
        <w:t>Mit Eingabe vom 6. April 2020 verlangte der Rechtsvertreter, dass in korrekter Umsetzung des Entscheides des Bundesgerichts 12T_3/2018 vom 22. Mai 2018 Richter Yanick Felley durch eine nicht der SVP angehörende Gerichtsperson zu ersetzen sei. Im Aufsichtsentscheid des Bundesgerichts sei festgehalten worden, dass aus Gründen der Effizienz, aus Dringlichkeit, zum Ausgleich der Arbeitslast, zur Vermeidung einer einseitigen politischen Zusammensetzung der Richterbank oder wegen Ausstand in die automatische Verteilung eingegriffen werden könne (Entscheid des Bundesgerichts 12T_3/2018 vom 22. Mai 2018 E. 2.4.2). Bei einer grammatikalisch korrekten Lesart heisse dies konkret, dass sich das "kann" auf den Eingriff als solchen beziehe. Dadurch werde ein Eingriff nämlich überhaupt erst legitimiert. Die obengenannten objektiven Kriterien wiederum würden die Frage regeln, wann zwingend eingegriffen werden müsse.</w:t>
      </w:r>
    </w:p>
    <w:p>
      <w:r>
        <w:rPr>
          <w:b/>
        </w:rPr>
        <w:t>E. 5.2</w:t>
      </w:r>
    </w:p>
    <w:p>
      <w:r>
        <w:t>Weder aus den gesetzlichen noch aus den reglementarischen Vorgaben des Bundesverwaltungsgerichts respektive dessen Abteilungen IV und V ergibt sich eine Pflicht, bei Mehrheiten einer politischen Partei im Spruchgremium korrigierend einzugreifen. Eine solche folgt - wie dem Rechtsvertreter des Beschwerdeführers nun bereits in mehreren Urteilen des Bundesverwaltungsgerichts mitgeteilt worden ist - auch nicht aus dem genannten Entscheid des Bundesgerichts (vgl. etwa Urteile des BVGer E-3822/2018 vom 12. Juli 2018, D-3751/2018 vom 11. Juli 2018 und E-3816/2018 10. Juli 2018, je E. 6.1). Der Antrag, Yanick Felley sei durch eine nicht der SVP angehörende Gerichtsperson zu ersetzen, ist abzuweisen.</w:t>
      </w:r>
    </w:p>
    <w:p>
      <w:r>
        <w:rPr>
          <w:b/>
        </w:rPr>
        <w:t>E. 6.1</w:t>
      </w:r>
    </w:p>
    <w:p>
      <w:r>
        <w:t>Der Beschwerdeführer rügt, dass die Verfügung in italienischer Sprache ergangen sei und nicht in deutscher Sprache, obwohl er in der deutschen Sprachregion wohne. Die Übersetzungsmöglichkeiten der Verfügung von Italienisch auf Tamilisch seien im Kanton (...) massiv kleiner als im Tessin. Das gleiche gelte für die Suche einer geeigneten Rechtsvertretung. Es sei für ihn schwieriger, innert Frist von seinem Wohnsitzkanton (...) aus eine Italienisch sprechende Rechtsvertretung zu mandatieren. Es sei ihm jedenfalls unmöglich gewesen, in (...) einen tamilischen Übersetzer zu finden, der ihm seinen negativen Entscheid aus dem Italienischen ins Tamilische hätte übersetzen können. Auch im (...) habe niemand Italienisch gesprochen und ihm helfen können nachzuvollziehen, weshalb sein Asylgesuch abgelehnt worden sei. Damit sei sein Rechtsschutz eingeschränkt worden. Das SEM habe nachvollziehbar offenzulegen und zu dokumentieren, aus welchen Gründen die vorliegende Verfügung nicht in der Sprache eröffnet worden sei, welche an seinem Wohnort Amtssprache sei, und weshalb im vorliegenden Fall ein zwingendes Erfordernis bestanden habe, von aArt. 16 Abs. 2 AsylG abzuweichen.</w:t>
      </w:r>
    </w:p>
    <w:p>
      <w:r>
        <w:rPr>
          <w:b/>
        </w:rPr>
        <w:t>E. 6.2</w:t>
      </w:r>
    </w:p>
    <w:p>
      <w:r>
        <w:t>Der Beschwerdeführer hat sein Asylgesuch am 7. November 2018 gestellt. Massgeblich ist daher - wie bereits festgestellt (E.1.2) - das zu diesem Zeitpunkt geltende Recht (vgl. Abs. 1 der Übergangsbestimmungen zur Änderung des AsylG vom 25. September 2015).</w:t>
      </w:r>
    </w:p>
    <w:p>
      <w:r>
        <w:rPr>
          <w:b/>
        </w:rPr>
        <w:t>E. 6.3</w:t>
      </w:r>
    </w:p>
    <w:p>
      <w:r>
        <w:t>Gemäss aArt. 16 Abs. 2 AsylG (in der Fassung Stand 1. Januar 2018) werden Verfügungen oder Zwischenverfügungen des SEM in der Sprache eröffnet, die am Wohnort der Asylsuchenden Amtssprache ist. Das SEM kann gemäss Abs. 3 ausnahmsweise davon abweichen, wenn die asylsuchende Person oder deren Rechtsvertreterin oder Rechtsvertreter einer anderen Amtssprache mächtig ist (Bst. a); dies unter Berücksichtigung der Gesuchseingänge oder der Personalsituation vorübergehend für eine effiziente und fristgerechte Gesuchserledigung erforderlich ist (Bst. b); oder die asylsuchende Person in einem Empfangs- und Verfahrenszentrum direkt angehört und einem Kanton mit einer anderen Amtssprache zugewiesen wird (Bst. c). Diese Bestimmung war mit der Asylgesetzrevision am 1. Februar 2014 in das Asylgesetz aufgenommen worden.</w:t>
      </w:r>
    </w:p>
    <w:p>
      <w:r>
        <w:rPr>
          <w:b/>
        </w:rPr>
        <w:t>E. 6.4</w:t>
      </w:r>
    </w:p>
    <w:p>
      <w:r>
        <w:t>Das Bundesverwaltungsgericht hat im Urteil D-1361/2020 vom 3. November 2020 (zur Publikation vorgesehen) festgestellt (vgl. E. 6.3), dass sich die Anwendung der Rechtsprechung der vormaligen Schweizerischen Asylrekurskommission (ARK) zur Verfahrenssprache und deren Rechtmässigkeit (vgl. Entscheide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wirksame Beschwerde und einen fairen Prozess (Art. 29 Abs. 1 BV und Art. 13 EMRK). Eine Verfügung könne ausnahmsweise in einer anderen Amtssprache ergehen, wenn gleichzeitig im Gegenzug geeignete Korrektivmassnahmen getroffen würden, die das Recht auf eine wirksame Beschwerde und auf einen fairen Prozess gewährleisten.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der Beschwerdeführer nicht von einem professionellen Rechtvertreter vertreten werde. Die Kassation der angefochtenen Verfügung einzig aus dem Grund, dass die Regeln betreffend die anzuwendende Verfahrenssprache verletzt wurden, komme demgegenüber grundsätzlich nicht in Frage, wenn die beschwerdeführende Person im Beschwerdeverfahren von einem professionellen Rechtsvertreter vertreten werde. Die Vorinstanz könne in einem solchen Fall zur Leistung einer Entschädigung verpflichtet werden für allfällige nützliche Auslagen, die der unterliegenden Partei entstünden, um diesen Mangel zu beheben. Art. 52 VwVG regelt die Anforderungen an Inhalt und Form der Beschwerdeschrift. Der Beschwerdeführer hat darzulegen, weshalb er die angefochtene Verfügung beanstandet; er begründet auf diese Weise sein Rechtsbegehren. Er führt an, welche tatbeständlichen und rechtlichen Erwägungen und sich daraus ergebenden Anordnungen der Vorinstanz nach seiner Auffassung unrichtig oder nicht stichhaltig sind. Die Beschwerdegründe sind das Gegenstück zur Kognition der angerufenen Rechtsmittelbehörde. Soweit der Beschwerdeführer folglich die Rechtswidrigkeit der angefochtenen Verfügung geltend machen will, muss er wenigstens implizit den Grund der Rechtswidrigkeit beziehungsweise die angeblich missachtete oder falsch angewendete Rechtsnorm nennen. Die Begründung muss zumindest sachbezogen sein und sich mit den Erwägungen der Vorinstanz auseinandersetzen. Eine inhaltliche Bezugnahme auf die Argumentation der angefochtenen Verfügung ist daher unerlässlich. Der Beschwerdeführer muss erkenntlich darlegen, aus welchen Gründen und in welchen Punkten er die Erwägungen der Vorinstanz als unrichtig oder nicht stichhaltig erachtet. Hierbei wird grundsätzlich bei der Begründung der Eingabe eines Laien ein weniger strenger Massstab angewendet als bei derjenigen eines Rechtsvertreters (Seethaler/Portmann in: Waldmann/Weissenberger [Hrsg.], Praxiskommentar Verwaltungsverfahrensgesetz, 2. Aufl. 2016, Rz. 62 ff. zu Art. 52 VwVG; vgl. Urteil D-1361/2020 vom 3. November 2020 [zur Publikation vorgesehen] E. 6.4).</w:t>
      </w:r>
    </w:p>
    <w:p>
      <w:r>
        <w:rPr>
          <w:b/>
        </w:rPr>
        <w:t>E. 6.5</w:t>
      </w:r>
    </w:p>
    <w:p>
      <w:r>
        <w:t>Der Beschwerdeführer hat seinen Wohnsitz im Kanton (...) und damit in einem Gebiet, welches der deutschen Amtssprache untersteht (vgl. §(...) der Verfassung des Kantons (...). Es wäre mithin der Erlass einer Verfügung in deutscher Sprache die Regel gewesen. Das SEM beruft sich in der Begründung seiner materiellen Verfügung auf eine Situation, welche es in Anwendung von aArt. 16 Abs. 2 Bst. b AsylG rechtfertige, die Verfügung ausnahmsweise in einer anderen als der am Wohnort gesprochenen Sprache, vorliegend in der italienischen Sprache, zu erlassen. Weiter wurde festgehalten, dass es sich um eine vorübergehende Massnahme handle, die dem zügigen Abbau der bei der Vorinstanz noch pendenten altrechtlichen Verfahren diene. Als Korrektivmassnahme wurden das Dispositiv und die Rechtsmittelbelehrung der Verfügung in die deutsche Sprache übersetzt. Eine Übersetzung der gesamten Verfügung erfolgte nicht.</w:t>
      </w:r>
    </w:p>
    <w:p>
      <w:r>
        <w:rPr>
          <w:b/>
        </w:rPr>
        <w:t>E. 6.6</w:t>
      </w:r>
    </w:p>
    <w:p>
      <w:r>
        <w:t>Ob das vom SEM gewählte Vorgehen, namentlich die gewählte Korrektivmassnahme generell als ausreichend anzusehen ist, um den in Art. 29a BV und Art. 13 EMRK garantierten Anspruch auf effektiven gerichtlichen Rechtsschutz genügend Rechnung zu tragen, kann vorliegend offenbleiben. Dem Beschwerdeführer war es offensichtlich mit Hilfe der von ihm mandatierten Rechtsvertretung möglich, eine in jeder Hinsicht rechtsgenügliche Beschwerde einzureichen, die sich mit allen Aspekten der vorinstanzlichen Verfügung einlässlich auseinandergesetzt hat; die Beschwerdeerhebung erfolgte auch fristgerecht. Eine Aufhebung der vorinstanzlichen Verfügung oder anderweitige Instruktionsmassnahmen gebieten sich daher vorliegend nicht.</w:t>
      </w:r>
    </w:p>
    <w:p>
      <w:r>
        <w:rPr>
          <w:b/>
        </w:rPr>
        <w:t>E. 7.1</w:t>
      </w:r>
    </w:p>
    <w:p>
      <w:r>
        <w:t>In der Beschwerde werden weiter verschiedene formelle Rügen erhoben (Verletzung des Anspruchs auf rechtliches Gehör inklusive Verletzung der Begründungspflicht, unvollständige und unrichtige Abklärung des rechtserheblichen Sachverhalts).</w:t>
      </w:r>
    </w:p>
    <w:p>
      <w:r>
        <w:rPr>
          <w:b/>
        </w:rPr>
        <w:t>E. 7.2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7.3.1</w:t>
      </w:r>
    </w:p>
    <w:p>
      <w:r>
        <w:t>Der Beschwerdeführer rügt, mit dem Erlass der Verfügung durch eine andere Person als diejenige, welche die Anhörung durchgeführt habe, sei das rechtliche Gehör verletzt worden und dadurch habe die Vorinstanz das Gutachten von Prof. Dr. Walter Kälin missachtet.</w:t>
      </w:r>
    </w:p>
    <w:p>
      <w:r>
        <w:rPr>
          <w:b/>
        </w:rPr>
        <w:t>E. 7.3.2</w:t>
      </w:r>
    </w:p>
    <w:p>
      <w:r>
        <w:t>Bei dem vom Beschwerdeführer zitierten Rechtsgutachten handelt es sich lediglich um eine Empfehlung von Prof. Dr. Walter Kälin an das SEM, aus welcher der Beschwerdeführer keine Ansprüche für sich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fehl.</w:t>
      </w:r>
    </w:p>
    <w:p>
      <w:r>
        <w:rPr>
          <w:b/>
        </w:rPr>
        <w:t>E. 7.4.1</w:t>
      </w:r>
    </w:p>
    <w:p>
      <w:r>
        <w:t>Weiter macht der Beschwerdeführer geltend, das SEM habe verschiedene Sachverhaltselemente, wie seine LTTE-Verbindung, den Reichtum seiner Familie, seinen Gesundheitszustand und die aktuelle Lage in Sri Lanka in keinster oder in offensichtlich unkorrekter Weise in der angefochtenen Verfügung erwähnt und dementsprechend nicht berücksichtigt. Der Beschwerdeführer sei verdächtigt worden, ein Versteck der LTTE ausgehoben zu haben. Somit wäre im Rahmen einer korrekten Begründung zu würdigen gewesen, ob er aufgrund seiner vermeintlichen LTTE-Verbindungen aufgrund des auf dem Grundstück seines Vaters aufgefundenen LTTE-Schatzes bei einer allfälligen Rückkehr nach Sri Lanka gefährdet sei. Zudem habe sein Onkel angegeben, dass er aus einer gut betuchten Familie stamme, was als risikobegründender Faktor für eine Verfolgung betrachtet werden müsse, da eine Reihe von paramilitärischen Gruppierungen regelmässig vermögende Personen entführen und erpressen würden, wogegen der sri-lankische Staat keinen Schutz biete. Ferner habe das SEM den Sachverhalt nicht richtig festgestellt, indem es die neusten Länderinformationen nicht beachtet habe, wonach Personen mit einem Profil wie dem seinigen bei einer Rückkehr nach Sri Lanka aus dem Exil (insbesondere aus der Schweiz) mit an Sicherheit grenzender Wahrscheinlichkeit einer asylrelevanten Verfolgung ausgesetzt seien. Zudem sei es erschreckend, dass das SEM nicht einmal ansatzweise versuche, die von ihm erwähnten Quellen korrekt zu würdigen. Das SEM gehe nicht auf einzelne konkrete Artikel ein, sondern stelle lediglich die Schlussfolgerung in den Raum, wonach in der Zeitung angeblich nicht über grosse Veränderungen der Situation im tamilisch geprägten Norden und Osten Sri Lankas berichtet worden sei. Eine Überprüfung der Berichterstattung des Tamil Guardian offenbare allerdings das Gegenteil. Eine korrekte Würdigung dieser Berichterstattung hätte dazu führen müssen, dass sich die Situation seit den Präsidentschaftswahlen sehr wohl verschlechtert habe. Die nachweislich falsche Einschätzung der aktuellen Lage in Sri Lanka und die faktenwidrige Argumentation in der angefochtenen Verfügung würden eine schwere Verletzung der Begründungspflicht darstellen. Es sei somit nicht nur unter dem Titel der unvollständigen und unrichtigen Abklärung des rechtserheblichen Sachverhalts sowie der Beweiswürdigung, sondern auch unter dem Titel der Verletzung der Begründungspflicht zu rügen, dass das SEM die gut dokumentierte politische und menschenrechtliche Situation in Sri Lanka nicht berücksichtigt habe. Zudem habe das SEM offenzulegen, auf welche Quellen es sich bei der Beurteilung der aktuellen Lage in Sri Lanka stütze.</w:t>
      </w:r>
    </w:p>
    <w:p>
      <w:r>
        <w:rPr>
          <w:b/>
        </w:rPr>
        <w:t>E. 7.4.2</w:t>
      </w:r>
    </w:p>
    <w:p>
      <w:r>
        <w:t>Vorliegend hat das SEM die individuellen Asylgründe des Beschwerdeführers vor dem Hintergrund der aktuellen Lage genügend abgeklärt und den Sachverhalt hinreichend festgestellt. Das SEM erwähnte im Sachverhalt, dass der Beschwerdeführer vom CID verdächtigt worden sei, auf dem Grundstück der Familie einen Schatz entwendet zu haben, und begründete auch hinreichend, warum es dieses Vorbringen als unglaubhaft erachtet. Folglich hat das SEM zu Recht nicht geprüft, ob dieses Vorbringen bei einer allfälligen Rückkehr zu einer Gefährdung führen könnte. Der Onkel des Beschwerdeführers gab zwar an, er stamme aus einer einigermassen wohlhabenden Familie (vgl. Akte N [...] A25/14 F22). Der Beschwerdeführer meinte seinerseits, er gehöre zur Mittelschicht (vgl. Akte A17/15 F17 ff.). Weder der Onkel noch der Beschwerdeführer haben aber je geltend gemacht, sie seien aufgrund dessen verfolgt worden oder sie hätten sich deswegen vor einer Entführung durch paramilitärische Gruppierungen gefürchtet. Für das SEM bestand deshalb kein Anlass, im Zusammenhang mit der Prüfung der Asylgründe näher darauf einzugehen. Warum in der Beschwerde gerügt wird, der Gesundheitszustand des Beschwerdeführers sei nicht hinreichend abgeklärt worden, ist nicht nachvollziehbar. Der Beschwerdeführer hat anlässlich der BzP und der Anhörung angegeben, es gebe keine gesundheitlichen Gründe, die gegen eine allfällige Rückkehr sprechen würden (vgl. Akten A7/13 Ziff. 8.02, A17/15 F122), und auch in den Akten liegen keine Dokumente zum Gesundheitszustand vor. In der Beschwerde selbst werden sodann keine gesundheitlichen Probleme des Beschwerdeführers angegeben oder Arztberichte eingereicht. Das SEM konnte deshalb darauf verzichten, den Gesundheitszustand weiter abzuklären oder näher darauf einzugehen. Das SEM hat sodann hinreichend begründet, weshalb es die Flüchtlingseigenschaft des Beschwerdeführers unter Berücksichtigung der aktuellen Lage in Sri Lanka verneint und eine Rückkehr des Beschwerdeführers für zulässig und zumutbar erachtet.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und Quellen anders interpretiert, spricht weder für eine ungenügende Sachverhaltsfeststellung noch stellt dies eine Verletzung der Begründungs- beziehungsweise Beweiswürdigungspflicht dar. Der Beweisantrag, das SEM habe die Quellen, auf welche es sich stütze, offenzulegen, ist ebenfalls abzuweisen. Das SEM hat in der angefochtenen Verfügung öffentlich zugängliche Quellen aufgeführt.</w:t>
      </w:r>
    </w:p>
    <w:p>
      <w:r>
        <w:rPr>
          <w:b/>
        </w:rPr>
        <w:t>E. 7.5</w:t>
      </w:r>
    </w:p>
    <w:p>
      <w:r>
        <w:t>Die formellen Rügen erweisen sich demzufolge als unbegründet, weshalb keine Veranlassung besteht, die angefochtene Verfügung aus formellen Gründen aufzuheben und die Sache an das SEM zurückzuweisen. Die diesbezüglichen Rechtsbegehren und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9.1</w:t>
      </w:r>
    </w:p>
    <w:p>
      <w:r>
        <w:t>Das SEM lehnte das Asylgesuch mit der Begründung ab, die Vorbringen des Beschwerdeführers seien nicht glaubhaft. Im Einzelnen führte es aus, die Schilderungen des Beschwerdeführers anlässlich der BzP und der Anhörung seien wenig detailliert gewesen. Er sei nicht im Stande gewesen zu erklären, wem der Schatz gehört habe, der auf dem Grundstück seines Vaters gefunden worden sei, wer diesen genommen habe und was der Schatz beinhaltet habe und was ausgegraben worden sei. Angesichts dessen, dass der Schatz auf ihrem Grundstück gefunden worden sei, er und sein Onkel die Grube besichtigt hätten und dies der Grund für die Probleme mit dem CID sei, sei seine Unkenntnis nicht nachvollziehbar (A7/13 S. 8-9). Er habe diese damit begründet, dass seinem Vater nie gesagt worden sei, was auf ihrem Grundstück gefunden worden sei (A17/15 F60). Da sein Onkel aber offensichtlich gewusst habe, um was es sich gehandelt habe, erscheine es nicht nachvollziehbar, dass er nicht einmal danach gefragt habe und dies auch ein Jahr nach dem Vorfall nicht (A17/15 F53). Auch bezüglich des Briefes des CID, wonach er und sein Onkel sich beim Hauptsitz hätten melden müssen und welcher seinem Vater übergeben worden sei, habe er keine genauen Angaben machen können. Dies habe er damit erklärt, dass er den Brief nicht gesehen haben und sein Vater nur knapp darüber am Telefon gesprochen habe (A17/15 F110). Zudem habe er nicht spezifizieren können, wie viele CID-Leute am 5. September 2018 zu ihm nach Hause gekommen seien. Er sei auch nicht im Stande gewesen auszuführen, auf welche Art und Weise diese Besuche abgelaufen (A17/15 F72) oder in welchen Abständen sie bei ihm zuhause aufgekreuzt seien (A17/15 F82). Ausserdem habe er nicht angeben können, wie viele Tage nach der Entführung seines Vaters dieser ihm darüber berichtet habe (A7/13 S. 9). Angesichts seiner Furcht um sein Leben erstaune sein geringes Interesse an Informationen über die Besuche des CID. Zudem sei die Erklärung, er und sein Onkel seien bei der Grube von den Nachbarn beobachtet worden (A17/15 F52, F63), weshalb er und sein Onkel und nicht sein Vater, welcher der eigentliche Grundstückbesitzer sei, vom CID gesucht worden seien, absurd. Auch seine Ausführungen zum Grundstückstreit mit Singhalesen und der Vermutung, diese hätten sie bei der Grube beobachtet und beim CID gemeldet, seien vage und undetailliert gewesen (A17/15 F52, F54, F57). Er habe keine plausible Erklärung auf die Frage geben können, warum das CID aufgrund eines Fundes auf ihrem Grundstück habe intervenieren müssen (A17/15 F56). Auf die Frage, weshalb er das Land verlassen habe, obwohl er keine Ahnung habe, was das CID genau von ihm wissen wolle und warum er zu einem Besuch vorgeladen worden sei, habe er geantwortet, dass ein «Bruder» vom Dorf auch aufgefordert und mitgenommen worden sei und man nicht wisse, ob er noch am Leben sei oder nicht (A17/15 F64). Die Vorbringen seien zu vage und unlogisch, um sie für glaubhaft zu erachten. Während seiner Erzählung sei es ferner zu wesentlichen Unstimmigkeiten gekommen. Anlässlich der BzP vom 23. November 2018 habe er angegeben, er habe sich zwei Wochen bei der Verwandten T. versteckt (A7/13 S. 8-9). Demgegenüber habe er anlässlich der Anhörung gesagt, er sei nur eine Woche dort gewesen (A17/15 F46). Weiter habe er anlässlich der BzP angegeben, dass zwei Tage nach Eintreffen des Briefes des CID dieses seinen Vater mitgenommen und auf einen bewaldeten Hügel von E._______ gebracht habe. Im Gegensatz dazu habe er anlässlich der Anhörung angegeben, eine Woche nach Eingang des Briefes sei sein Vater mit Gewalt in einem Van entführt worden (A17/15 F46, F111). Als er unmittelbar danach mit dem Widerspruch konfrontiert worden sei, habe er diesen nicht erklären können (A17/15 F112). Später habe er wiederum angegeben, innerhalb von zwei Tagen nach Erhalt des Briefes sei sein Vater mitgenommen worden (A17/15 F114). Im Verlaufe der BzP habe er angegeben, dass sein Vater ihn zwei Tage nach Erhalt des Briefes angerufen habe (A7/13 S. 9), während er anlässlich der Anhörung gesagt habe, dass ihn sein Vater zwei Tage nach dessen Mitnahme angerufen und ihm darüber berichtet habe (A17/15 F117). Auch diesen Widerspruch habe er nicht aufzulösen vermocht (A17/15 F118). Während der BzP habe er gesagt, dass das CID denke, dass sie den ausgegrabenen Schatz genommen hätten (A7/13 S. 8). Demgegenüber habe er anlässlich der Anhörung angegeben, dass er und sein Onkel die Grube besichtigt hätten, dass etwas gefunden worden sei, sie aber nicht wüssten, was es gewesen sei, dass jemand dies kommuniziert habe und das CID deswegen zu ihnen gekommen sei (A17/15 F51-53). Auf diesen Widerspruch angesprochen, habe er nur eine unwahrscheinliche und repetitive Erklärung gehabt, indem er meinte, sie hätten es sich angeschaut und jemand habe gemeldet, dass sie es genommen hätten (A17/15 F119). Im Verlauf der Anhörung habe er angegeben, dass er die Kühe getrieben habe, als er das Loch gesehen habe. Mitte August 2018, sprich drei oder vier Wochen nach Entdeckung des Lochs (A17/15 F68), sei die Polizei zu seinem Vater nach Hause gegangen, um sie aufzusuchen. Dieses Ereignis sei von seinem Vater dem Dorfvorsteher gemeldet worden (A17/15 F66). Unverständlicherweise seien diese wesentlichen Ereignisse anlässlich der BzP nicht annähernd angesprochen worden, obwohl er die Möglichkeit gehabt habe, sich ausführlich zu seinen Asylgründen zu äussern (A7/13 S. 8-9). Seine widersprüchlichen und nachgeschobenen Schilderungen würden vor diesem Hintergrund den Anforderungen an die Glaubhaftigkeit nach Art. 7 AsylG nicht standhalten. Dass der Beschwerdeführer vor seiner Ausreise einer asylrelevanten Verfolgung ausgesetzt gewesen sei, habe er somit nicht glaubhaft machen können. Er sei auch nie Mitglied der LTTE gewesen und habe nie mit diesen zusammengearbeitet. Im Gegenteil habe er sich bis Ende November 2018 in Sri Lanka aufgehalten und somit nach Kriegsende noch zehn Jahre in seinem Heimatland gelebt. Allfällige, im Zeitpunkt der Ausreise bestehende Risikofaktoren hätten kein Verfolgungsinteresse seitens der sri-lankischen Behörden auszulösen vermocht. Es sei aufgrund der Aktenlage nicht ersichtlich, weshalb er bei einer Rückkehr nach Sri Lanka nunmehr in den Fokus der Behörden geraten und in asylrelevanter Weise verfolgt werden solle. Auch die am 16. November 2019 erfolgte Präsidentschaftswahl mit dem Sieg von Gotabaya Rajapaksa vermöge diese Einschätzung nicht umzustossen. Wie immer prüfe das SEM das Verfolgungsrisiko im Einzelfall. Voraussetzung für die Annahme einer Verfolgungsgefahr aufgrund der Präsidentschaftswahl sei ein persönlicher Bezug der asylsuchenden Person zu eben diesem Ereignis respektive dessen Folgen. Dafür reiche es nicht aus, pauschal auf politische Entwicklungen der jüngeren Vergangenheit oder mögliche Zukunftsszenarien zu verweisen. Stattdessen müsse im Einzelfall eine beachtliche Wahrscheinlichkeit vorliegen. Dies sei vorliegend nicht der Fall. Somit bestehe kein begründeter Anlass zur Annahme, dass er bei einer Rückkehr nach Sri Lanka mit beachtlicher Wahrscheinlichkeit und in absehbarer Zukunft asylrelevanten Verfolgungsmassnahmen im Sinne von Art. 3 AsylG ausgesetzt sein werde.</w:t>
      </w:r>
    </w:p>
    <w:p>
      <w:r>
        <w:rPr>
          <w:b/>
        </w:rPr>
        <w:t>E. 9.2</w:t>
      </w:r>
    </w:p>
    <w:p>
      <w:r>
        <w:t>In der Beschwerde wird demgegenüber im Wesentlichen geltend gemacht, dem SEM sei zuzustimmen, dass seine Ausführungen zum Teil vage und unkonkret, zum Teil auch unlogisch ausgefallen seien. Es sei allerdings unzulässig, daraus auf die Unglaubhaftigkeit seiner Vorbringen zu schliessen. Er habe nie selbst mit den CID-Beamten gesprochen. Sämtliche Angaben zu diesem Vorbringen würden lediglich auf Hörensagen beruhen. Es handle sich bei den vagen Ausführungen um Rationalisierungsversuche. Da er nicht gebildet sei und aus einem bäuerlichen Umfeld stamme, seien die Rationalisierungsversuche entsprechend ausgefallen. Der Schatz sei von unbekannten Personen ausgegraben worden. Er wisse deshalb nicht genau, was auf dem Grundstück seines Vaters während des Bürgerkrieges vergraben und 2018 wieder ausgegraben worden sei. Aber als Sohn eines Grundstückbesitzers, der zudem von Zeugen bei der Grube (und somit beim vermeintlichen Ausgraben) gesehen worden sei, sei er ins Visier der sri-lankischen Behörden geraten. Es handle sich um Gerüchte über den Inhalt von solchen Verstecken und Schätzen, die von den LTTE insbesondere in der Region, wo er gewohnt habe, angelegt worden seien. Zur gleichen Zeit seien in der Region auf Nachbargrundstücken und in Nachbardörfern verschiedene solche LTTE-Schätze ausgehoben worden. Aus diesem Grund sei es auch zu einer erhöhten Präsenz des CID gekommen, das offenbar über die LTTE-Funde informiert worden sei und entsprechende Ermittlungen an die Hand genommen habe. Praktisch immer seien beim Auffinden solcher LTTE-Lager Tamilen verhaftet worden. Es brauche extrem genaue Ortskenntnisse, um einen vergrabenen Schatz nach zehn Jahren wieder aufzufinden. Werde also ein entsprechendes LTTE-Versteck von den sri-lankischen Behörden gefunden, würden jene ins Visier geraten, die bei der entsprechenden Grube gesehen worden seien. Es sei deshalb logisch, dass er ins Visier der sri-lankischen Behörden geraten sei und unter dem Verdacht stehe, eine direkte Verbindung zu den LTTE zu haben und auch zehn Jahre nach dem Ende des Bürgerkrieges an einer Wiederbelebung des tamilischen Separatismus beteiligt zu sein, indem er einen Schatz der LTTE ausgehoben habe. Die behördliche Verfolgung sei durch eine polizeiliche Vorladung (message form) in Singhalesisch (inklusive englischer Übersetzung) der (...) für den Beschwerdeführer und seinen Onkel vom 22. Oktober 2018 belegt worden, welche dem Vater des Beschwerdeführers übergeben worden sei. Aufgrund des Reichtums seiner Familie sei er von seinem singhalesischen Nachbarn denunziert oder angezeigt worden. Er könne jederzeit Opfer von Erpressung von notorisch korrupten sri-lankischen Sicherheitsbeamten werden. Er sei illegal in die Schweiz geflüchtet. Die Begründung des SEM in Bezug auf die Unglaubhaftigkeit verschiedener Sachverhaltselemente sei nicht nachvollziehbar und teilweise schlicht falsch. Der Beschwerdeführer weise folgende Risikofaktoren gemäss dem Referenzurteil E-1866/2015 vom 15. Juli 2016 auf: Auf dem Grundstück der Familie des Beschwerdeführers sei ein LTTE-Warenlager ausgehoben worden. Er sei von Zeugen bei der Grube gesehen und denunziert oder angezeigt worden. Er weise somit in den Augen der sri-lankischen Behörden eine klare und aktuelle LTTE-Verbindung auf (1). Es sei eine polizeiliche Vorladung betreffend ihn und seinen Onkel ausgehändigt worden. Die vermeintliche LTTE-Verbindung sei deshalb behördlich registriert worden. Es sei davon auszugehen, dass er sich auf einer Stop- oder Watch-Liste befinde (2). Sein Reichtum stelle einen weiteren Risikofaktor dar (vgl. Urteil des BVGer E-6220/2006 vom 26. Oktober 2011; (3)). Er halte sich über zwei Jahre in der Schweiz - einem Hort des tamilischen Separatismus - auf (4). Er verfüge über keine gültigen Einreisepapiere (5). Drei dieser Risikofaktoren seien als stark einzustufen (1-3), während zwei (4-5) eher genereller Natur seien, aber auch für sich alleine genommen eventuell zu einer asylrelevanten Verfolgung in Sri Lanka führen könnten. In ihrer Kumulation ergebe sich jedenfalls, dass die Risikofaktoren nach geltender Rechtsprechung zwingend zu einer Bejahung der Flüchtlingseigenschaft führen müssten. Besonders hervorgehoben werden müsse vor allem, dass vor dem Hintergrund der neuen Ausgangslage die einzelnen Risikofaktoren verstärkt Geltung hätten, da sich mit dem Wiedereinzug von Mahinda Rajapaksas in das zweithöchste Exekutivamt das Verfolgungsrisiko massiv verstärkt habe.</w:t>
      </w:r>
    </w:p>
    <w:p>
      <w:r>
        <w:rPr>
          <w:b/>
        </w:rPr>
        <w:t>E. 10.1</w:t>
      </w:r>
    </w:p>
    <w:p>
      <w:r>
        <w:t>In der Beschwerde wird den Ausführungen des SEM zugestimmt, insofern es feststellte, die Schilderungen des Beschwerdeführers seien teilweise vage, unkonkret und unlogisch ausgefallen. Hierzu wird erklärt, der Beschwerdeführer habe die Informationen nicht von CID-Personen erhalten, sondern vom Hörensagen und versuche, den Ereignissen einen Sinn zu geben. Dies erklärt zwar seine vagen Äusserungen, jedoch nicht die Vielzahl vom SEM aufgeführten Widersprüche, welche in der Beschwerde keineswegs aufgelöst werden. In der Beschwerde werden auch keine Ausführungen dazu gemacht, warum der Beschwerdeführer anlässlich der BzP nicht erwähnte, dass vor dem CID bereits die Polizei wegen der Ausgrabung bei ihnen nachgefragt hatte. Zudem ist schwer vorstellbar, dass der Beschwerdeführer und seine Familie die angebliche Ausgrabung nicht bemerkt haben, zumal in der Beschwerde berichtet wird, dass sogar die sri-lankischen Medien über solche Funde berichten würden und solche Meldungen mit gross angelegten Suchaktionen der sri-lankischen Sicherheitskräften verbunden seien (Beschwerde S. 23). Schliesslich konnte der Beschwerdeführer nicht erklären, warum das Interesse des CID ihm und nicht seinem Vater, dem das Grundstück gehört, gelte (vgl. Akte A17/15 F63). Der Beschwerdeführer war im Jahre 2009, als der Bürgerkrieg endete, (...) Jahre alt und hatte deshalb kaum die in der Beschwerde erwähnten exakten Ortskenntnisse, wo die LTTE während dem Krieg einen Schatz versteckt hatten. Wenn das CID also vermuten würde, dass auf dem Grundstück des Vaters des Beschwerdeführers ein LTTE-Schatz ausgegraben worden ist, hätte vielmehr der Vater ins Visier des CID geraten müssen. Unter diesen Umständen und aufgrund der Vielzahl widersprüchlicher Aussagen (vgl. dazu die angefochtene Verfügung sowie E. 9.1) kann deshalb dem Beschwerdeführer nicht geglaubt werden, dass er im Zusammenhang mit einer Ausgrabung eines LTTE-Schatzes von den sri-lankischen Behörden im Zeitpunkt der Ausreise verfolgt worden ist.</w:t>
      </w:r>
    </w:p>
    <w:p>
      <w:r>
        <w:rPr>
          <w:b/>
        </w:rPr>
        <w:t>E. 10.2</w:t>
      </w:r>
    </w:p>
    <w:p>
      <w:r>
        <w:t>An dieser Feststellung vermögen weder die mit der Beschwerde eingereichte Vorladung noch die Medienberichte etwas zu ändern. Aus der Vorladung geht nicht hervor, in welchem Zusammenhang der Beschwerdeführer und der Onkel vorgeladen worden sind. Zudem erscheint merkwürdig, dass der Beschwerdeführer diese Vorladung erst im Zusammenhang mit der Beschwerde einreichte, obwohl sie im Oktober 2018 ausgestellt worden zu sein scheint, weshalb Zweifel an deren Echtheit bestehen. Der Beschwerdeführer wird in den Medienberichten über Funde von ehemaligen LTTE-Gegenständen nicht namentlich erwähnt, weshalb er daraus keine persönliche Verfolgung ableiten kann.</w:t>
      </w:r>
    </w:p>
    <w:p>
      <w:r>
        <w:rPr>
          <w:b/>
        </w:rPr>
        <w:t>E. 10.3</w:t>
      </w:r>
    </w:p>
    <w:p>
      <w:r>
        <w:t>Dem Beschwerdeführer ist es somit nicht gelungen, eine ihm im Zeitpunkt seiner Ausreise drohende flüchtlingsrechtlich relevante Gefährdungslage nachzuweisen oder glaubhaft darzutun.</w:t>
      </w:r>
    </w:p>
    <w:p>
      <w:r>
        <w:rPr>
          <w:b/>
        </w:rPr>
        <w:t>E. 11.1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11.2</w:t>
      </w:r>
    </w:p>
    <w:p>
      <w:r>
        <w:t>Wie sich aus den vorstehenden Erwägungen ergibt, ist es unglaubhaft, dass der Beschwerdeführer in Sri Lanka vor seiner Ausreise von den sri-lankischen Behörden verfolgt worden ist. Es bestehen keine Verbindungen zwischen dem Beschwerdeführer und den LTTE. Der Beschwerdeführer war sodann im Zeitpunkt des Kriegsendes im Jahre 2009 gerade einmal (...) Jahre alt und machte keine Mitgliedschaft oder Mitarbeit für die LTTE geltend. Auch in seiner Familie war niemand bei der LTTE (vgl. Akte A17/15 F44). Zudem macht er keine politischen Aktivitäten in der Schweiz geltend (vgl. Akte A17/15 F121). Es besteht deshalb kein Anlass zur Annahme, er würde im Falle der Rückkehr die Aufmerksamkeit der heimatlichen Behörden in einem flüchtlingsrechtlich relevanten Mass auf sich ziehen. Allein die Zugehörigkeit des Beschwerdeführers zur tamilischen Ethnie, seine mehrjährige Landesabwesenheit sowie die Asylgesuchstellung in einem tamilischen Diasporaland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E-1866/2015 E. 8.3). Die Ausführungen, dass der Beschwerdeführer als Mitglied einer bestimmten sozialen Gruppe respektive als Angehöriger der Risikogruppe von Personen, die aus der Schweiz - einem tamilischen Diasporazentrum - nach längerer Zeit zurückkehrten, verfolgt würde, geht daher fehl. 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Auch aus den auf Beschwerdeebene eingereichten zahlreichen Dokumenten zur allgemeinen Lage und politischen Situation in Sri Lanka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weshalb er keine Verfolgung oder begründete Furcht vor zukünftiger Verfolgung im Sinne von Art. 3 AsylG nachzuweisen oder glaubhaft zu machen vermag.</w:t>
      </w:r>
    </w:p>
    <w:p>
      <w:r>
        <w:rPr>
          <w:b/>
        </w:rPr>
        <w:t>E. 11.3</w:t>
      </w:r>
    </w:p>
    <w:p>
      <w:r>
        <w:t>Zusammenfassend ist somit festzuhalten, dass das SEM zu Recht die Flüchtlingseigenschaft verneint und das Asylgesuch des Beschwerdeführers abgelehnt hat.</w:t>
      </w:r>
    </w:p>
    <w:p>
      <w:r>
        <w:rPr>
          <w:b/>
        </w:rPr>
        <w:t>E. 12</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13.2.2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Ziff. 37; neueren Datums bestätigt in J.G. gegen Polen vom 11. Juli 2017, Nr. 44114/14). Aus den Akten ergeben sich keine konkreten Anhaltspunkte dafür, dass der Beschwerdeführer bei einer Rückkehr nach Sri Lanka mit beachtlicher Wahrscheinlichkeit persönlich gefährdet wäre. Der Vollzug der Wegweisung ist zulässig.</w:t>
      </w:r>
    </w:p>
    <w:p>
      <w:r>
        <w:rPr>
          <w:b/>
        </w:rPr>
        <w:t>E. 13.3.1</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w:t>
      </w:r>
    </w:p>
    <w:p>
      <w:r>
        <w:rPr>
          <w:b/>
        </w:rPr>
        <w:t>E. 13.3.2</w:t>
      </w:r>
    </w:p>
    <w:p>
      <w:r>
        <w:t>Der Beschwerdeführer stammt aus C._______ (Nordprovinz), wo er seit seiner Geburt bis fünf Wochen vor seiner Ausreise mit seiner Familie gelebt habe. Ein Vollzug in diese Provinz ist im Lichte der Rechtsprechung zumutbar. In vorliegendem Fall sprechen sodann keine individuellen Gründe gegen einen Wegweisungsvollzug. Der Beschwerdeführer besuchte elf Jahre die Schule, hat eine Ausbildung als (...)techniker abgeschlossen und danach auf seinem Beruf gearbeitet (vgl. Akte A7/13 Ziff. 1.17.04). Seine Familie besitzt Land, welches sie mit zwei bis drei Angestellten bewirtschaftet und ist finanziell gut gestellt (vgl. A17/15 F11-19). Vor diesem Hintergrund ist nicht davon auszugehen, dass er existenzielle Schwierigkeiten haben wird. In C._______ verfügt der Beschwerdeführer mit seinen Eltern und zwei Schwestern über ein Beziehungsnetz und eine gesicherte Wohnsituation (vgl. Akte A17/15 F9). Nach dem Gesagten erweist sich der Vollzug der Wegweisung nicht als unzumutbar.</w:t>
      </w:r>
    </w:p>
    <w:p>
      <w:r>
        <w:rPr>
          <w:b/>
        </w:rPr>
        <w:t>E. 13.4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ganz überwiegend auf die generelle Situation in Sri Lanka beziehen, ohne einen individuellen Bezug zum Beschwerdeführer zu haben - noch näher einzugehen. Die Beschwerde ist abzuweisen, soweit darauf einzutreten ist.</w:t>
      </w:r>
    </w:p>
    <w:p>
      <w:r>
        <w:rPr>
          <w:b/>
        </w:rPr>
        <w:t>E. 15</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10. September 2020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