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D-168/2015 vom 23. Januar 2015</w:t>
      </w:r>
    </w:p>
    <w:p>
      <w:r>
        <w:t>Bundesverwaltungsgericht, 2015-01-23, DE</w:t>
      </w:r>
    </w:p>
    <w:p>
      <w:r>
        <w:rPr>
          <w:b/>
        </w:rPr>
        <w:t xml:space="preserve">Quelle: </w:t>
      </w:r>
      <w:r>
        <w:t>https://mcp.opencaselaw.ch/entscheid/bvger_D-168_2015</w:t>
      </w:r>
    </w:p>
    <w:p>
      <w:r>
        <w:t>FR: TAF D-168/2015 du 23 janvier 2015</w:t>
      </w:r>
    </w:p>
    <w:p>
      <w:r>
        <w:t>IT: TAF D-168/2015 del 23 gennaio 2015</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33 Verwaltungsgerichtsgesetz [VGG, SR 173.32] und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Aufgrund der Aktenlage ist auf die Durchführung eines Schriftenwechsels zu verzichten (Art. 111a Abs. 1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3.1</w:t>
      </w:r>
    </w:p>
    <w:p>
      <w:r>
        <w:t>Aus den Sachverhaltsschilderungen des Beschwerdeführers geht hervor, dass dieser im Herbst 2006 - also im Alter von noch nicht ganz 19 Jahren - während eines Diensturlaubs von Ende August bis Anfang November (vgl. [...]) respektive von eigentlich nur 45-Tagen (vgl. [...]) eine Beziehung zu der von ihm heute als seine Lebenspartnerin bezeichneten B._______ unterhielt, aus welcher die (...) 2007geborene Tochter C._______ entsprungen sei. Zwar stammt der Beschwerdeführer aus X._______ und B._______ soweit ersichtlich aus einer Ortschaft in der westlich davon gelegenen Sub-Region Z._______. Da sich B._______ jedoch schon früher besuchsweise in seiner Nachbarschaft aufgehalten haben soll, ist der geltend gemachte Kontakt grundsätzlich glaubhaft. Darüber hinaus besteht jedoch aufgrund der Aktenlage kein Anlass zur Annahme, er habe mit B._______ weiterführende Kontakte gepflegt, geschweige denn Anlass zur Annahme, er habe mit ihr jemals im Sinne einer Familiengemeinschaft zusammengelebt. Soweit er auf Beschwerdeebene andauernde Kontakte während seiner Militärdienstzeit geltend macht, sind seine diesbezüglichen Vorbringen aufgrund der Aktenlage - mithin seiner klaren Angaben im Rahmen der Befragung zur Person (vgl. oben, Bst. B [zweiter Absatz] - als nachgeschoben und damit unglaubhaft zu erkennen. Dabei bleibt festzuhalten, dass der Beschwerdeführer seinen übereinstimmenden Angaben zufolge während seiner gesamten Dienstzeit bloss einen einzigen Urlaub hatte, den Urlaub vom Herbst 2006 (vgl. [...]), und er auch anlässlich seiner Flucht vom Frühjahr 2008 nicht nach Hause zurückgekehrt ist (vgl. [...]). Zwar ist nicht auszuschliessen, dass sich die Familie des Beschwerdeführers und die Familie von B._______ nach dem Bekanntwerden der Schwangerschaft über die Zukunft ihrer Kinder unterhielten, was vom Beschwerdeführer im Rahmen der Anhörung sinngemäss geltend gemacht wurde (vgl. oben, Bst. B [dritter Absatz]), jedoch ergeben sich auch von daher keine Hinweise auf eine tatsächlich gelebte dauerhafte persönliche Verbindung. Zusammenfassend vermag der Beschwerdeführer einzig darzutun, dass er im Herbst 2006 während kurzer Zeit mit B._______ liiert war und dass das Kind C._______ aus dieser ausserehelichen (Jugend-)Be­ziehung stammen soll. Weder dieser Beziehung noch dem möglichen Kindsverhältnis kommt jedoch Entscheidrelevanz zu, da nichts dafür spricht, der Beschwerdeführer und B._______ hätten jemals im Sinne einer Familiengemeinschaft zusammengelebt. Auf eine Auseinandersetzung mit dem vorgelegten Beweismittel, eine angebliche Wohnsitzbestätigung, kann vor diesem Hintergrund verzichtet werden. Mit dem BFM ist schliesslich darin einig zu gehen, dass eine allfällige Beziehung zu B._______ ohnehin durch die spätere Verbindung mit D._______ beendet worden wäre. Der Beziehung zu D._______, aus welcher die Tochter E._______ hervorging, wäre nur dann im Sinne der Beschwerdevorbringen keine Bedeutung zuzumessen, wenn sich diese aufgrund der Aktenlage lediglich als kurzes Intermezzo, mithin als blosser "Seitensprung" darstellen würde. Dies ist jedoch nicht der Fall, da der Beschwerdeführer gemäss Aktenlage während mehreren Jahren mit D._______ im Sinne einer familiären Gemeinschaft zusammengelebt hat und die beiden am 17. April 2011, zusammen mit ihrem gemeinsamen Kind, als Familie in der Schweiz um Asyl ersucht haben.</w:t>
      </w:r>
    </w:p>
    <w:p>
      <w:r>
        <w:rPr>
          <w:b/>
        </w:rPr>
        <w:t>E. 3.2</w:t>
      </w:r>
    </w:p>
    <w:p>
      <w:r>
        <w:t>Vor dem Hintergrund der vorstehenden Erwägungen bleibt festzuhalten, dass die Bestimmungen zum Familienasyl nach Art. 51 Abs. 1 und 4 AsylG weder zur Aufnahme von neuen respektive von zuvor noch gar nicht gelebten familiären Beziehungen noch zur Wiederaufnahme von bereits abgebrochenen familiären Beziehung herangezogen werden können (vgl. für die langjährige Praxis: Entscheidungen und Mitteilungen der Schweizerischen Asylrekurskommission [EMARK] 2000 Nr. 11 E. 3b S. 89 sowie 2006 Nr. 8 E. 3.2 S. 94 f.). Das Institut des Familienasyls zielt nach der Konzeption des Gesetzes und ständiger Praxis alleine auf die Bewahrung bestehender Familiengemeinschaften ab, respektive auf deren Wiederherstellung, sollte es aufgrund der Fluchtumstände zu einer erzwungenen Trennung der Familie gekommen sein. Die entsprechenden Anforderungen erfüllt der Beschwerdeführer in Bezug auf B._______ und das Kind C._______ nicht, da zwischen ihnen nie eine Familiengemeinschaft bestand. Daran ändern auch seine Vorbringen über die angeblich von ihm gewollte Verbindung zu B._______ nichts, zumal er sich in seinen diesbezüglichen Ausführungen auf einen rein hypothetischen Lebensplan beruft.</w:t>
      </w:r>
    </w:p>
    <w:p>
      <w:r>
        <w:rPr>
          <w:b/>
        </w:rPr>
        <w:t>E. 3.3</w:t>
      </w:r>
    </w:p>
    <w:p>
      <w:r>
        <w:t>Die Asylgesetzgebung bietet dem Beschwerdeführer keine weitere respektive andere Handhabe, um B._______ oder das Kind C._______ in die Schweiz nachzuziehen. Sollte er am Vorhaben des Nachzuges festhalten wollen, so ist er an die für ihn zuständige kantonale Behörde zu verweisen, welche für die Beurteilung des Familiennachzuges nach den ausländerrechtlichen Bestimmungen zuständig ist (vgl. dazu wiederum EMARK 2006 Nr. 8 E. 3.2 [S. 95, zweitletzter Absatz]).</w:t>
      </w:r>
    </w:p>
    <w:p>
      <w:r>
        <w:rPr>
          <w:b/>
        </w:rPr>
        <w:t>E. 4</w:t>
      </w:r>
    </w:p>
    <w:p>
      <w:r>
        <w:t>Nach dem Gesagten ergibt sich, dass das BFM zu Recht das Gesuch Familiennachzug respektive um Bewilligung der Einreise in die Schweiz und Einbezug in die Flüchtlingseigenschaft gemäss Art. 51 Abs. 1 und 4 AsylG abgelehnt hat. Die angefochtene Verfügung ist daher zu bestätigen und die Beschwerde abzuweisen.</w:t>
      </w:r>
    </w:p>
    <w:p>
      <w:r>
        <w:rPr>
          <w:b/>
        </w:rPr>
        <w:t>E. 5</w:t>
      </w:r>
    </w:p>
    <w:p>
      <w:r>
        <w:t>Mit dem vorliegenden Entscheid wird das Gesuch um Befreiung von der Kostenvorschusspflicht (gemäss Art. 63 Abs. 4 VwVG) gegenstandslos. Nach der Abweisung der Beschwerde wären dem Beschwerdeführer grundsätzlich Kosten aufzuerlegen (vgl. dazu Art. 63 Abs. 1 VwVG). In Gutheissung des Gesuchs um Gewährung der unentgeltlichen Rechtspflege (im Sinne von Art. 65 Abs. 1 VwVG) wird jedoch auf das Erheben von Verfahrenskosten verzichtet, zumal das Verfahren nicht als von vornherein aussichtslos zu bezeichnen war und der Beschwerdeführer gemäss der vorgelegten Fürsorgebestätigung als bedürftig gilt.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