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D-1689/2011 vom 31. März 2011</w:t>
      </w:r>
    </w:p>
    <w:p>
      <w:r>
        <w:t>Bundesverwaltungsgericht, 2011-03-31, DE</w:t>
      </w:r>
    </w:p>
    <w:p>
      <w:r>
        <w:rPr>
          <w:b/>
        </w:rPr>
        <w:t xml:space="preserve">Quelle: </w:t>
      </w:r>
      <w:r>
        <w:t>https://mcp.opencaselaw.ch/entscheid/bvger_D-1689_2011</w:t>
      </w:r>
    </w:p>
    <w:p>
      <w:r>
        <w:t>FR: TAF D-1689/2011 du 31 mars 2011</w:t>
      </w:r>
    </w:p>
    <w:p>
      <w:r>
        <w:t>IT: TAF D-1689/2011 del 31 marzo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108 Abs. 2 AsylG und Art. 105 AsylG i.V.m. Art. 52 VwVG). Der Beschwerdeführer ist durch die angefochtene Verfügung berührt und hat ein schutzwürdiges Interesse an deren Aufhebung beziehungsweise Änderung. Der Beschwer­deführer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gemäss Art. 32 - 35a AsylG beschränkt sich das Bundesverwaltungsgericht auf die Überprü­fung der Frage, ob die Vorinstanz zu Recht auf das Asylgesuch nicht einge­treten ist. Gelangt es zum Schluss, der angefochtene Nichteintretens­entscheid verletze Bundesrecht, enthält es sich einer selb­ständigen materiellen Prüfung, hebt die angefochtene Verfügung auf und weist die Sache zu neuer Entscheidung an die Vorinstanz zurück (BVGE 2007/8 E. 2.1 S. 73; Entscheidungen und Mitteilungen der Schweizeri­schen Asylrekurskommission [EMARK] 2004 Nr. 34 E. 2.1 S. 240 f.).</w:t>
      </w:r>
    </w:p>
    <w:p>
      <w:r>
        <w:rPr>
          <w:b/>
        </w:rPr>
        <w:t>E. 4.1</w:t>
      </w:r>
    </w:p>
    <w:p>
      <w:r>
        <w:t>Gemäss Art. 32 Abs. 2 Bst. e AsylG wird auf ein Asylgesuch nicht ein­getreten, wenn die asylsuchende Person in der Schweiz bereits ein Asylver­fahren erfolglos durchlaufen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w:t>
      </w:r>
    </w:p>
    <w:p>
      <w:r>
        <w:rPr>
          <w:b/>
        </w:rPr>
        <w:t>E. 4.2</w:t>
      </w:r>
    </w:p>
    <w:p>
      <w:r>
        <w:t>Mit Urteilen vom 25. September 2008 und 6. August 2010 wies das Bundesverwaltungsgericht die Beschwerden vom 18. November 2004 und vom 16. Dezember 2009 gegen die Verfügungen des BFM vom 2. November 2004 und vom 13. November 2009 ab. Der Beschwerdeführer hat somit in der Schweiz im Sinne von Art. 32 Abs. 2 Bst. e AsylG bereits zwei Asylverfahren erfolglos durchlaufen.</w:t>
      </w:r>
    </w:p>
    <w:p>
      <w:r>
        <w:rPr>
          <w:b/>
        </w:rPr>
        <w:t>E. 4.3</w:t>
      </w:r>
    </w:p>
    <w:p>
      <w:r>
        <w:t>Wie den ausführlichen Erwägungen des Urteils des Bundesverwaltungsgerichts vom 25. September 2008 zu entnehmen ist, war bereits das geltend gemachte politische Engagement des Beschwerdeführers im Heimatstaat unglaubhaft (vgl. a.a.O. E. 4.1.1 - E. 4.3). Darüber hinaus ist dem eben erwähnten Urteil wie auch demjenigen vom 6. August 2010 zu entnehmen, dass die subjektiven Nachfluchtgründe des Beschwerdeführers bereits Gegenstand zweier Beschwerdeverfahren waren. Wie sich aus prozessualen Grundsätzen ergibt, kann die bereits beurteilte Sachverhaltverhaltsdarstellung des Beschwerdeführers nicht erneut Ge­genstand einer materiellen Beurteilung im Rahmen eines dritten Asylverfahrens bilden (res iudicata; FRITZ GYGI, Bundesverwaltungsrechtspflege, 2. Aufl., Bern 1983, S. 322 f.; ALFRED KÖLZ/ISABELLE HÄNER, Verwaltungs­verfahren und Verwaltungsrechtspflege des Bundes, 2. Aufl., Zü­rich 1998, S. Rz. 715).</w:t>
      </w:r>
    </w:p>
    <w:p>
      <w:r>
        <w:rPr>
          <w:b/>
        </w:rPr>
        <w:t>E. 4.4</w:t>
      </w:r>
    </w:p>
    <w:p>
      <w:r>
        <w:t>In Anbetracht dieser Ausgangslage stellt sich die Frage, ob seit den obgenannten Urteilen des Bundesverwaltungsgerichts überhaupt Ereignisse eingetreten sind, die geeignet sind, die Flüchtlingseigenschaft zu begrün­den, oder die für die Gewährung vorübergehenden Schutzes relevant sind. Dies ist nicht der Fall. Wie sich jedoch aus den Akten ergibt, hat der Beschwerdeführer seine Inszenierungen von politischen Aktivitäten, deren Zielpublikum, wie bereits dem Urteil vom 6. August 2010 des Bundesverwaltungsgerichts zu entnehmen ist, nicht die äthiopischen, sondern die schweizerischen Behörden sind (vgl. a.a.O. E. 5.2), in der Zwischenzeit emsig weitergeführt. Dies ermöglichte ihm, ein Schreiben vom 21. Oktober 2010 der AES zu erlangen und zu den Akten zu reichen. Indessen vermag derlei Mühewaltung bei der Konstruktion subjektiver Nachfluchtgründe nicht zu einer veränderten Betrachtungsweise zu führen, zumal solche Organisationen äusserst freigebig bei der Ausstellung derartiger Beweismittel sind, weshalb diese als Gefälligkeitsschreiben erscheinen. An der politischen Bedeutungslosigkeit des Beschwerdeführers ändert das Beweismittel nichts. Im Übrigen erwähnte die Vorinstanz dieses Beweismittel entgegen den Vorbringen in der Beschwerdeschrift sowohl im Sachverhalt als auch in den Erwägungen ausdrücklich, weshalb es sich an dieser Stelle erübrigt, auf die Rüge, die Vorinstanz habe die bundesrechtlichen Normen bezüglich der Prüfung der Parteivorbringen, der Begründungspflicht und betreffend die Gewährung des rechtlichen Gehörs verletzt, weiter einzugehen. Dies umso weniger, als es weiterhin an objektivierbaren Hinwei­sen im Sinne von Art. 32 Abs. 2 Bst. e AsylG fehlt, was - wie nachstehend aufzuzeigen ist - auch bezüglich seiner Vorbringen zur Zumutbarkeit gilt.</w:t>
      </w:r>
    </w:p>
    <w:p>
      <w:r>
        <w:rPr>
          <w:b/>
        </w:rPr>
        <w:t>E. 4.5</w:t>
      </w:r>
    </w:p>
    <w:p>
      <w:r>
        <w:t>Zusammenfassend ergibt sich, dass der Beschwerdeführer keine Hinweise zu erbringen vermochte, dass seit dem rechtskräftigen Ab­schluss der früheren Asylverfahren Ereignisse eingetreten sind, die geeig­net wären, die Flüchtlingseigenschaft zu begründen, oder die für die Gewährung vorübergehenden Schutzes relevant sind (siehe auch BVGE 2009/53 E. 6 S. 772). Bei dieser Sach­lage erübrigt es sich, den vorinstanzlichen Entscheid zu kassieren und zu neuem Entscheid an die Vorinstanz zurückzuweisen, auf weitere Vorbrin­gen und Beweismittel weiter einzugehen oder zusätzliche Beweise zu erhe­ben. Das BFM ist demnach zu Recht in Anwendung von Art. 32 Abs. 2 Bst. e AsylG auf das Asylgesuch des Beschwerdeführers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Hinweise im Sinne von Art. 32 Abs. 2 Bst. e AsylG vorzubringen, kann das in Art. 5 AsylG verankerte Prinzip des flüchtlingsrechtlichen Non-Refoulements im vorliegenden Verfahren keine Anwendung finden. Eine Rückkehr des Beschwerdeführers in den Heimatstaat ist demnach unter dem Aspekt von Art. 5 AsylG rechtmässig.Sodann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jedoch nicht gelungen. Auch die allgemeine Menschenrechtssituation im Heimat­staat lässt den Wegweisungsvollzug zum heutigen Zeitpunkt nicht als unzu­lässig erscheinen. Der Vollzug der Wegweisung ist damit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den Akten finden sich auch keine konkreten Anhaltspunkte dafür, dass der nach wie vor junge Beschwerdefüh­rer aus individuellen Gründen wirtschaftlicher, sozialer oder gesundheitli­cher Natur in eine existenzbedrohende Situation geraten würde; insbesondere ist auch nicht anzunehmen, der Beschwerdeführer werde in seiner Eigenschaft als N._______ (A2/9 Ziff. 8 S. 2) in die Lage kommen, schwere körperliche Arbeit verrichten zu müssen. Zur Vermeidung von Wiederholungen kann an dieser Stelle auch auf die Erwägungen 7.5 im Urteil des Bundesverwaltungsgerichts vom 6. August 2010 verwiesen werden, insbesondere auch auf die Erwägungen zur Gesundheit des Beschwerdeführers. Dies umso mehr, als der auf Beschwerdeebene eingereichte Arztbericht ausdrücklich festhält, seit dem letzten Schreiben seien keine neuen wesentlichen Elemente hinzugekommen. Demnach erweist sich nach dem Gesagten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dem Entscheid in der Hauptsache ist das Gesuch um Verzicht auf die Erhebung eines Kostenvorschusses gegenstandslos geworden.</w:t>
      </w:r>
    </w:p>
    <w:p>
      <w:r>
        <w:rPr>
          <w:b/>
        </w:rPr>
        <w:t>E. 8.2</w:t>
      </w:r>
    </w:p>
    <w:p>
      <w:r>
        <w:t>Wie sich aus den vorangehenden Erwägungen ergibt, muss die Beschwerde als aussichtslos bezeichnet werden, weshalb die Gesuche um Gewährung der unentgeltlichen Rechtspflege im Sinne von Art. 65 Abs. 1 und 2 VwVG abzuweisen sind.</w:t>
      </w:r>
    </w:p>
    <w:p>
      <w:r>
        <w:rPr>
          <w:b/>
        </w:rPr>
        <w:t>E. 8.3</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