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D-1685/2015 vom 29. Mai 2015</w:t>
      </w:r>
    </w:p>
    <w:p>
      <w:r>
        <w:t>Bundesverwaltungsgericht, 2015-05-29, DE</w:t>
      </w:r>
    </w:p>
    <w:p>
      <w:r>
        <w:rPr>
          <w:b/>
        </w:rPr>
        <w:t xml:space="preserve">Quelle: </w:t>
      </w:r>
      <w:r>
        <w:t>https://mcp.opencaselaw.ch/entscheid/bvger_D-1685_2015</w:t>
      </w:r>
    </w:p>
    <w:p>
      <w:r>
        <w:t>FR: TAF D-1685/2015 du 29 mai 2015</w:t>
      </w:r>
    </w:p>
    <w:p>
      <w:r>
        <w:t>IT: TAF D-1685/2015 del 29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form- und fristgerecht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Gestützt auf Art. 111a Abs. 1 AsylG wurde vorliegend auf die Durchführung eines Schriftenwechsels verzichtet.</w:t>
      </w:r>
    </w:p>
    <w:p>
      <w:r>
        <w:rPr>
          <w:b/>
        </w:rPr>
        <w:t>E. 5.1</w:t>
      </w:r>
    </w:p>
    <w:p>
      <w:r>
        <w:t>Ein Asylgesuch konnte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5.2</w:t>
      </w:r>
    </w:p>
    <w:p>
      <w:r>
        <w:t>Die Beschwerdeführenden wurden nicht zu ihrem Asylgesuch befragt. Sie legten ihre Vorbringen jedoch bereits im Asylgesuch vom 24. August 2012 schriftlich dar (vgl. Sachverhalt Bst. A). Zudem wurde ihnen in der Folge, mit Zwischenverfügungen des BFM (heute SEM) vom 9. April und 30. Mai 2014, zwei Kataloge für die vollständige Erstellung des rechtserheblichen Sachverhalts noch zu beantwortenden offenen Fragen zugestellt, wozu sie am 9. Mai 2014 und 2. Juli 2014 schriftlich Stellung nahmen (vgl. Sachverhalt Bst. B.a und Bst. B.c). Der entscheidwesentliche Sachverhalt erscheint angesichts der schriftlichen Darlegung der Asylgründe soweit erstellt, dass die entscheidrelevanten Elemente vorliegen.</w:t>
      </w:r>
    </w:p>
    <w:p>
      <w:r>
        <w:rPr>
          <w:b/>
        </w:rPr>
        <w:t>E. 5.3</w:t>
      </w:r>
    </w:p>
    <w:p>
      <w:r>
        <w:t>Bei dieser Sachlage bestand keine Veranlassung, die Beschwer­deführenden vorgängig eines Entscheides durch eine schweizerische Vertretung zusätzlich persönlich zu befragen. Das BFM (heute SEM) hat den verfah-rensrechtlichen Anforderungen damit Genüge getan.</w:t>
      </w:r>
    </w:p>
    <w:p>
      <w:r>
        <w:rPr>
          <w:b/>
        </w:rPr>
        <w:t>E. 6.1</w:t>
      </w:r>
    </w:p>
    <w:p>
      <w:r>
        <w:t>Das SEM kann ein im Ausland gestelltes Asylgesuch ablehnen, wenn die asylsuchende Person keine Verfolgung glaubhaft machen kann oder ihr die Aufnahme in einem Drittstaat zugemutet werden kann (Art. 3, Art. 7 und AsylG und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des BVGer D-2018/2011 vom 14. September 2011 E. 7.1).</w:t>
      </w:r>
    </w:p>
    <w:p>
      <w:r>
        <w:rPr>
          <w:b/>
        </w:rPr>
        <w:t>E. 7.1</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Im Auslandverfahren schliesst das Bestehen der Flüchtlingseigenschaft allein aufgrund von subjektiven Nachfluchtgründen im Sinne von Art. 54 AsylG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 und dementsprechend ergibt sich in diesen Konstellationen auch keine Verpflichtung der Schweiz.</w:t>
      </w:r>
    </w:p>
    <w:p>
      <w:r>
        <w:rPr>
          <w:b/>
        </w:rPr>
        <w:t>E. 7.2</w:t>
      </w:r>
    </w:p>
    <w:p>
      <w:r>
        <w:t>Neben der reinen Logik des im Schweizer Recht für die vorläufige Aufnahme von Flüchtlingen vorgesehenen Verfahrens, ergibt sich die Verweigerung der Einreise in die Schweiz von Asylsuchenden, die gemäss Art. 54 AsylG vom Asyl ausgeschlossen würden, auch durch die gebotene restriktive Umschreibung der Voraussetzungen zur Erteilung einer Einreisebewilligung und den den Behörden zustehenden weiten Ermessensspielraum. Insbesondere kann so auch dem Missbrauch begegnet werden, dass Personen allein durch die Ausreise oder das Verhalten im Drittstaat den Familiennachzug zu ihren Verwandten in der Schweiz erzwingen können, obwohl die ausländerrechtlichen Voraussetzungen im Sinne von Art. 85 Abs. 7 AuG nicht erfüllt sind.</w:t>
      </w:r>
    </w:p>
    <w:p>
      <w:r>
        <w:rPr>
          <w:b/>
        </w:rPr>
        <w:t>E. 8.1</w:t>
      </w:r>
    </w:p>
    <w:p>
      <w:r>
        <w:t>Im Hinblick auf das in E. 7.1 Ausgeführte ist vorab zu prüfen, ob die Vorinstanz zu Recht von der fehlenden Asylrelevanz der Vorbringen der Beschwerdeführenden ausgegangen ist und ihr Asylgesuch folglich zu Recht abgelehnt hat.</w:t>
      </w:r>
    </w:p>
    <w:p>
      <w:r>
        <w:rPr>
          <w:b/>
        </w:rPr>
        <w:t>E. 8.2</w:t>
      </w:r>
    </w:p>
    <w:p>
      <w:r>
        <w:t>Das SEM führte diesbezüglich in seiner Verfügung im Wesentlichen aus, dem Asylgesuch vom 24. August 2012 und den Stellungnahmen vom 9. Mai und 2. Juli 2014 seien keine konkret dargelegten Anhaltspunkte dafür zu entnehmen, dass die Beschwerdeführenden zum Zeitpunkt der Ausreise aus ihrem Heimatstaat von einreisebeachtlichen Schwierigkeiten gemäss Art. 3 AsylG bedroht gewesen seien oder dass ihnen im Sudan solche drohen würden. Insbesondere sei das Asylgesuch von E._______ mit Verfügung vom 30. März 2010 - bestätigt mit Urteil des Bundesverwaltungsgerichts D-2911/2010 vom 11. April 2011 - unter anderem deswegen abgelehnt worden, weil seine Asylvorbringen als unglaubhaft eingestuft worden seien. Somit könne die von den Beschwerdeführenden geltend gemachte Reflexverfolgung, welche auf den unglaubhaften Vorbringen von E._______ beruhe, nicht geglaubt werden. Zudem seien die von der Beschwerdeführerin geltend gemachten Befragungen durch eritreische Behördenvertreter mangels hinreichender Intensität nicht als ernsthafte Nachteile im Sinne von Art. 3 AsylG zu qualifizieren.</w:t>
      </w:r>
    </w:p>
    <w:p>
      <w:r>
        <w:rPr>
          <w:b/>
        </w:rPr>
        <w:t>E. 8.3</w:t>
      </w:r>
    </w:p>
    <w:p>
      <w:r>
        <w:t>In der Beschwerde wird geltend gemacht, die Beschwerdeführerin 1 habe sich nach dem Tod von E._______ Ehefrau regelmässig um seine Kinder gekümmert, sei für ihn und seine inzwischen in der Schweiz lebenden Töchter zu einer wichtigen Bezugsperson geworden und die Beschwerdeführenden 2-4 seien ebenfalls zu einem Teil der Familie geworden.</w:t>
      </w:r>
    </w:p>
    <w:p>
      <w:r>
        <w:rPr>
          <w:b/>
        </w:rPr>
        <w:t>E. 8.4</w:t>
      </w:r>
    </w:p>
    <w:p>
      <w:r>
        <w:t>Die Überprüfung der Akten ergibt, dass das SEM den Beschwerdeführenden zu Recht die Einreise in die Schweiz verweigert und das Asylgesuch abgelehnt hat. Das Bundesverwaltungsgericht schliesst sich der Auffassung des SEM an, wonach die Beschwerdeführenden - die sich im Zeitpunkt der Einreichung ihres Asylbegehrens in einem Drittstaat aufgehalten haben - zum Zeitpunkt der Ausreise aus Eritrea nicht konkret in asylrelevanter Weise gefährdet waren. Das Ausgeführte ergibt sich allerdings nicht aus der unzutreffenden Schlussfolgerung der Vorinstanz, wonach eine Reflexverfolgung der Beschwerdeführenden unglaubhaft sei, weil sie auf den als unglaubhaft eingestuften Asylvorbringen von E._______ beruhe. Es kann nicht vollständig ausgeschlossen werden, dass sich im Heimatland zurückgebliebene Familienmitglieder von illegal Ausgereisten - unabhängig von den Gründen für die Ausreise - mit Konsequenzen ihres Heimatstaates konfrontiert sehen, die bezüglich ihrer Intensität und der politischen Motivation des Staates ernsthafte Nachteile gemäss Art. 3 Abs. 2 AsylG darstellen. Im vorliegenden Fall soll die Beschwerdeführerin 1 seit der Flucht von E._______ im Januar 2008 regelmässig von Behördenvertretern nach seinem Verbleib befragt und bedroht worden sein, wobei diese Befragungen seit September 2011 ungefähr alle zwei Wochen stattgefunden hätten. Es soll nicht in Abrede gestellt werden, dass diese Befragungen - sollten sie sich tatsächlich so zugetragen haben - auf die Beschwerdeführerin 1 belastend gewirkt haben. Allerdings waren sie nicht von einer solchen Intensität, dass sie bei objektiver Betrachtung geeignet gewesen wären, auf die Beschwerdeführerin 1 einen unerträglichen psychischen Druck zu bewirken. Somit hat die Vorinstanz das Vorliegen von ernsthaften Nachteilen im Sinne von Art. 3 Abs. 2 AsylG zu Recht verneint. Hinzu kommt, dass sich die Beschwerdeführenden noch während ungefähr vier Jahren nach der Flucht von E._______ in ihrem Heimatland aufgehalten haben, weshalb im Ausreisezeitpunkt auch keine begründete Furcht bestanden hat, dereinst solchen Nachteilen ausgesetzt zu werden. Daran vermögen die zusätzlichen Ausführungen in der Beschwerde bezüglich der Beziehungsnähe zwischen den Töchtern von E._______ und den Beschwerdeführenden - unabhängig von deren Glaubhaftigkeit - nichts zu ändern, zumal diese Ausführungen in keinem Zusammenhang mit asylrelevanten Problemen beziehungsweise allfälligen Nachteilen der Beschwerdeführenden in ihrem Heimatland stehen. Daraus folgt (unter nochmaligem Verweis auf BVGE 2012/26 E. 7 S. 519 f.), dass den Beschwerdeführenden unbesehen der Beziehungsnähe zur Schweiz und ohne Prüfung, inwiefern ein Verbleib im Sudan für sie zumutbar ist, die Einreise in die Schweiz von vornherein nicht bewilligt werden kann.</w:t>
      </w:r>
    </w:p>
    <w:p>
      <w:r>
        <w:rPr>
          <w:b/>
        </w:rPr>
        <w:t>E. 8.5</w:t>
      </w:r>
    </w:p>
    <w:p>
      <w:r>
        <w:t>Zusammenfassend ist festzustellen, dass es den Beschwerdeführenden nicht gelungen ist, eine aktuelle Verfolgung im Sinne von Art. 3 AsylG darzulegen. Es erübrigt sich, auf die weiteren Vorbringen in der Beschwerde und die eingereichten Beweismittel einzugehen, da diese keine neuen Begründungselemente enthalten, welche geeignet wären, die Einschätzung des SEM entscheidend zu relativieren. Das SEM hat demnach den Beschwerdeführenden zu Recht die Einreise in die Schweiz verweigert und das Asylgesuch aus dem Ausland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dessen Kosten grundsätzlich den Beschwerdeführenden aufzuerlegen (Art. 63 Abs. 1 VwVG). Aus ver­waltungsökonomischen Gründen und in Anwendung von Art. 63 Abs. 1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