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D-1681/2022 vom 8. März 2022</w:t>
      </w:r>
    </w:p>
    <w:p>
      <w:r>
        <w:t>Bundesverwaltungsgericht, 2022-03-08, DE</w:t>
      </w:r>
    </w:p>
    <w:p>
      <w:r>
        <w:rPr>
          <w:b/>
        </w:rPr>
        <w:t xml:space="preserve">Quelle: </w:t>
      </w:r>
      <w:r>
        <w:t>https://mcp.opencaselaw.ch/entscheid/bvger_D-1681_2022_d20220308</w:t>
      </w:r>
    </w:p>
    <w:p>
      <w:r>
        <w:t>FR: TAF D-1681/2022 du 8 mars 2022</w:t>
      </w:r>
    </w:p>
    <w:p>
      <w:r>
        <w:t>IT: TAF D-1681/2022 del 8 marzo 2022</w:t>
      </w:r>
    </w:p>
    <w:p>
      <w:pPr>
        <w:pStyle w:val="Heading2"/>
      </w:pPr>
      <w:r>
        <w:t>Regeste</w:t>
      </w:r>
    </w:p>
    <w:p>
      <w:r>
        <w:t>Asyl (ohne Wegweisungsvollzug) | Asyl (ohne Wegweisungsvollzug); Verfügung des SEM vom 8.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D-1681/2022 Seite 6</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Das Bundesverwaltungsgericht berücksichtigt die Verfahrensakten von B._______ (N […]), dem Vater des Beschwerdeführers, von Amtes wegen.</w:t>
      </w:r>
    </w:p>
    <w:p>
      <w:r>
        <w:rPr>
          <w:b/>
        </w:rPr>
        <w:t>E. 3.1</w:t>
      </w:r>
    </w:p>
    <w:p>
      <w:r>
        <w:t>Im Sinne eines Eventualantrags wird in der Beschwerde gerügt, die Vorinstanz habe sich nur ungenügend zu einer drohenden Reflexverfol- gung aufgrund der Tätigkeiten des Vaters geäussert. Damit habe sich das SEM mit einem erheblichen Parteivorbringen nicht auseinandergesetzt, weshalb die Begründungspflicht, und damit das rechtliche Gehör im Sinne von Art. 29 Abs. 2 BV, verletzt worden sei.</w:t>
      </w:r>
    </w:p>
    <w:p>
      <w:r>
        <w:rPr>
          <w:b/>
        </w:rPr>
        <w:t>E. 3.2</w:t>
      </w:r>
    </w:p>
    <w:p>
      <w:r>
        <w:t>Diese Rüge ist vorab zu beurteilen, da sie allenfalls geeignet ist, eine Kassation der vorinstanzlichen Verfügung zu bewirken.</w:t>
      </w:r>
    </w:p>
    <w:p>
      <w:r>
        <w:rPr>
          <w:b/>
        </w:rPr>
        <w:t>E. 3.3</w:t>
      </w:r>
    </w:p>
    <w:p>
      <w:r>
        <w:t>Bezüglich einer allfälligen Reflexverfolgung hielt die Vorinstanz fest, dass die Angaben des Beschwerdeführers betreffend die telefonischen Be- drohungen seitens der Taliban unsubstantiiert ausgefallen seien und nicht mit denjenigen seines Vaters übereinstimmen würden. So habe der Be- schwerdeführer vorgebracht, er sei aufgrund der Facebook-Veröffentli- chungen seines Vaters bedroht worden; dieser habe jedoch trotz der Dro- hungen seitens der Taliban weiterhin kritische Beiträge auf Facebook pu- bliziert. Sein Vater hingegen habe erklärt, sein Facebook-Konto auf Ende 2017 gelöscht zu haben.</w:t>
      </w:r>
    </w:p>
    <w:p>
      <w:r>
        <w:t>D-1681/2022 Seite 7</w:t>
      </w:r>
    </w:p>
    <w:p>
      <w:r>
        <w:rPr>
          <w:b/>
        </w:rPr>
        <w:t>E. 3.4</w:t>
      </w:r>
    </w:p>
    <w:p>
      <w:r>
        <w:t>Die Begründungspflicht ergibt sich aus dem in Art. 29 Abs. 2 BV nor- mierten Anspruch auf rechtliches Gehör und ist in Art. 35 Abs. 1 VwVG aus- drücklich geregelt. Danach obliegt es der verfügenden Behörde, alle er- heblichen Parteivorbringen zu prüfen und zu würdigen, wobei sich das Er- 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 dung des Entscheids muss so abgefasst sein, dass der Betroffene ihn ge- gebenenfalls sachgerecht anfechten kann. Die Behörde muss sich jedoch nicht mit jeder tatbeständlichen Behauptung auseinandersetzen, sondern kann sich auf die für den Entscheid wesentlichen Gesichtspunkte be- schränken (vgl. BVGE 2016/9 E. 5.1).</w:t>
      </w:r>
    </w:p>
    <w:p>
      <w:r>
        <w:rPr>
          <w:b/>
        </w:rPr>
        <w:t>E. 3.4.1</w:t>
      </w:r>
    </w:p>
    <w:p>
      <w:r>
        <w:t>Gemäss der Rechtsprechung des Bundesverwaltungsgerichts kann die familiäre Zugehörigkeit zu einer Person, welche einer Verfolgung aus- gesetzt ist, zu einer Reflexverfolgung führen. (vgl. Urteile des BVGer E-3520/2014 E. 7.3, D-2161/2021 vom 12. Januar 2022 E. 7.2 ff.). Laut Be- richten der Schweizerischen Flüchtlingshilfe (SFH) und Human Rights Watch (HRW) können insbesondere Familienangehörige (ehemaliger) Mit- glieder der afghanischen Verteidigungs- und Sicherheitskräfte (Afghan Na- tional Defense and Security Forces, ANDSF) und der ehemaligen afghani- schen Sicherheitskräfte von Reflexverfolgung betroffen sein (SFH, Afgha- nistan: Gefährdungsprofile. Update der SFH-Länderanalyse, 31.10.2021, a.a.O., HRW, “No Forgiveness for People Like You”: Executions and En- forced Disappearances in Afghanistan under the Taliban, 30. November 2021, www.hrw.org/report/2021/11/30/no-forgiveness-people-you/executi- ons-and-enforced-dis-appearances-afghanistan, alle abgerufen am 05.07.2022; siehe auch das Urteil des BVGer D-1728/2022 vom 10. Mai 2022 E. 7.4). Innerhalb der ehemaligen Sicherheitskräfte dürften Angehö- rige der Arbaki Milizen über ein besonders gefährdendes Risikoprofil ver- fügen, da deren Mitglieder lokal operierten, den Einheimischen bekannt sind und daher von den Taliban leicht zu identifizieren sein dürften; bei die- ser Ausgangslage ist auch nicht auszuschliessen, dass es zu Denunziatio- nen gegenüber den neuen Machthabern gekommen sein kann (vgl. zu den Arbaki Milizen das Urteil des Bundesverwaltungsgerichts E-1638/2017 vom 2. April 2020 E. 5.3 m.w.H.). Auch HRW berichtet, es habe bereits im November 2021 Hinweise auf Übergriffe auf mehr als 100 ehemalige lokale Sicherheitskräfte und ihre Familienmitglieder gegeben (SEM, Focus Afgha- nistan, Verfolgung durch Taliban: Potentielle Risikoprofile, 15. Februar 2022, S. 14 m.w.H.).</w:t>
      </w:r>
    </w:p>
    <w:p>
      <w:r>
        <w:t>D-1681/2022 Seite 8</w:t>
      </w:r>
    </w:p>
    <w:p>
      <w:r>
        <w:rPr>
          <w:b/>
        </w:rPr>
        <w:t>E. 3.4.2</w:t>
      </w:r>
    </w:p>
    <w:p>
      <w:r>
        <w:t>Das Gericht stellt fest, dass die Vorinstanz ihre Einschätzung auf die fehlende Substantiiertheit und gewisse Widersprüche zwischen den Anga- ben des Beschwerdeführers und denjenigen seines Vaters betreffend die Drohungen durch die Taliban stützt. Die bewiesenen Tatsachen – nament- lich, dass es sich beim Beschwerdeführer um den ältesten Sohn von B._______, welchem aufgrund seiner Teilnahme an Kampfeinsätzen ge- gen die Taliban im Rahmen seiner Funktion als Gruppenführer der Arbaki Milizen in der Schweiz Asyl gewährt wurde (vgl. Urteil des BVGer D- 1965/2019 vom 15. Oktober 2021 E. 4.2.2, S. 12; N […], A52/3) – haben sich in der Begründung des vorinstanzlichen Entscheids nicht niederge- schlagen. Sodann haben weder die Aussagen des Beschwerdeführers noch diejenigen seines Vaters betreffend eine Reflexverfolgung Eingang in die Entscheidbegründung gefunden. In diesem Zusammenhang gab sein Vater mehrfach zu Protokoll, die Taliban hätten ihm gedroht, sie würden seinen Sohn entführen und mittels Sprengstoffgürtel töten (vgl. A4/19 Ziff. 7.02; A16/20 F43; A33/23 F90). Der Beschwerdeführer machte an mehreren Stellen seinerseits geltend, er werde aufgrund der Tätigkeit sei- nes Vaters verfolgt werden (vgl. SEM-eAkten […]-16/12 F28, F33 f., F55; […]-19/12 F30, F33, F35). Auch die Frage, ob sich die geltend gemachte Verwandtschaft mit Mitgliedern der Taliban bezüglich einer möglichen Re- flexverfolgung risikoerhöhend oder risikomindernd auf den Beschwerde- führer auswirken dürfte, wurde in der Begründung nicht berücksichtigt. Schliesslich nahm die Vorinstanz auch im Rahmen der Vernehmlassung – trotz der diesbezüglichen Beschwerdevorbringen – nicht Stellung zu einer drohenden Reflexverfolgung.</w:t>
      </w:r>
    </w:p>
    <w:p>
      <w:r>
        <w:rPr>
          <w:b/>
        </w:rPr>
        <w:t>E. 3.4.3</w:t>
      </w:r>
    </w:p>
    <w:p>
      <w:r>
        <w:t>Es ist nicht auszuschliessen, dass der Beschwerdeführer bei einer Rückkehr in seinen Heimatstaat allein wegen der Teilnahme seines Vaters an Kampfhandlungen gegen die Taliban in seiner Funktion als Gruppen- führer der Arbaki Miliz ernsthaften Nachteilen im Sinne des Asylgesetzes ausgesetzt sein könnte. Damit bestehen gewisse Indizien und Anhalts- punkte, die die Furcht des Beschwerdeführers vor einer drohenden Re- flexverfolgung im Sinne von Art. 3 AsylG nachvollziehbar erscheinen las- sen. Diese Indizien und Anhaltspunkte fanden indes keinen Niederschlag in der Begründung der angefochtenen Verfügung. Somit hat es die Vor- instanz versäumt, sich in ihrer Begründung mit einem erheblichen Partei- vorbringen auseinanderzusetzen.</w:t>
      </w:r>
    </w:p>
    <w:p>
      <w:r>
        <w:rPr>
          <w:b/>
        </w:rPr>
        <w:t>E. 3.5</w:t>
      </w:r>
    </w:p>
    <w:p>
      <w:r>
        <w:t>In der Folge stellt das Gericht fest, dass die Vorinstanz die Begrün- dungspflicht, und damit das rechtliche Gehör im Sinne von Art. 29 Abs. 2 BV, verletzt hat.</w:t>
      </w:r>
    </w:p>
    <w:p>
      <w:r>
        <w:t>D-1681/2022 Seite 9</w:t>
      </w:r>
    </w:p>
    <w:p>
      <w:r>
        <w:rPr>
          <w:b/>
        </w:rPr>
        <w:t>E. 4.1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 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4.2</w:t>
      </w:r>
    </w:p>
    <w:p>
      <w:r>
        <w:t>Eine Rückweisung der Sache ist angesichts der Verletzung der Be- gründungspflicht einer allfälligen Reflexverfolgung betreffend angezeigt, zumal keine Heilung erfolgen kann, nachdem das SEM zu dieser berech- tigten Rüge im Rahmen der Vernehmlassung nicht Stellung genommen hat. Ein reformatorischer Entscheid fällt demnach ausser Betracht. Das SEM ist anzuweisen, in der Sache im Sinne der vorstehenden Erwägungen neu zu entscheiden. Dabei ist insbesondere zu prüfen, ob aufgrund des Umstands, dass der Beschwerdeführer der älteste Sohn eines Gruppen- führers der Arbaki Milizen ist, welchem in der Schweiz Asyl gewährt wurde, konkrete Indizien und tatsächliche Anhaltspunkte – unter Berücksichtigung sowohl der belastenden wie auch der entlastenden Elemente – bestehen, die eine Furcht des Beschwerdeführers vor einer drohenden Verfolgung im Sinne von Art. 3 AsylG nachvollziehbar erscheinen lassen.</w:t>
      </w:r>
    </w:p>
    <w:p>
      <w:r>
        <w:rPr>
          <w:b/>
        </w:rPr>
        <w:t>E. 5</w:t>
      </w:r>
    </w:p>
    <w:p>
      <w:r>
        <w:t>Bei diesem Ausgang des Verfahrens sind keine Kosten zu erheben (Art. 63 Abs. 1 und 2 VwVG).</w:t>
      </w:r>
    </w:p>
    <w:p>
      <w:r>
        <w:rPr>
          <w:b/>
        </w:rPr>
        <w:t>E. 6</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Die Rechts- beiständin reichte mit der Eingabe vom 24. Juni 2022 eine aktualisierte Kostennote ein. Die darin insgesamt veranschlagten neun Stunden für die Beschwerdeerhebung, insbesondere die geltend gemachten fünfeinhalb</w:t>
      </w:r>
    </w:p>
    <w:p>
      <w:r>
        <w:t>D-1681/2022 Seite 10 Stunden für die Redaktion der Beschwerde, sind angesichts der weiteren dreieinhalb Stunden für Aktenstudium und Besprechung mit dem Mandan- ten, den Verfahrensumständen nicht gänzlich angemessen und auf sieben Stunden zu kürzen. Demgegenüber erweist sich der weitere zeitliche Auf- wand von einer Stunde und 15 Minuten als angemessen und er ist in Be- rücksichtigung der Eingabe vom 24. Juni 2022 auf eineinhalb Stunden zu erhöhen. Daraus ergibt sich für das Beschwerdeverfahren ein angemesse- ner zeitlicher Aufwand von insgesamt acht Stunden und 30 Minuten. Der ausgewiesene Stundenansatz von Fr. 200.– ist reglementskonform (Art. 10 Abs. 2 VGKE). Damit beläuft sich die dem Beschwerdeführer vom SEM auszurichtende Parteientschädigung in Berücksichtigung der massgebli- chen Bemessungsfaktoren (Art. 9-13 VGKE) auf Fr. 1745.– (inkl. Ausla- gen).</w:t>
      </w:r>
    </w:p>
    <w:p>
      <w:r>
        <w:rPr>
          <w:b/>
        </w:rPr>
        <w:t>E. 7</w:t>
      </w:r>
    </w:p>
    <w:p>
      <w:r>
        <w:t>Mit Eingabe vom 24. Juni 2022 ersuchte MLaw Olivia Eugster um Entlas- sung aus ihrem Amt als amtliche Rechtsbeiständin des Beschwerdeführers und um Einsetzung von MLaw Shirin Fallahpour als ihre Nachfolgerin. An- gesichts des Ausgangs des Verfahrens erweisen sich die Gesuche als ge- genstandslos. (Dispositiv nächste Seite)</w:t>
      </w:r>
    </w:p>
    <w:p>
      <w:r>
        <w:t>D-1681/2022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