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D-1679/2013 vom 29. April 2013</w:t>
      </w:r>
    </w:p>
    <w:p>
      <w:r>
        <w:t>Bundesverwaltungsgericht, 2013-04-29, DE</w:t>
      </w:r>
    </w:p>
    <w:p>
      <w:r>
        <w:rPr>
          <w:b/>
        </w:rPr>
        <w:t xml:space="preserve">Quelle: </w:t>
      </w:r>
      <w:r>
        <w:t>https://mcp.opencaselaw.ch/entscheid/bvger_D-1679_2013</w:t>
      </w:r>
    </w:p>
    <w:p>
      <w:r>
        <w:t>FR: TAF D-1679/2013 du 29 avril 2013</w:t>
      </w:r>
    </w:p>
    <w:p>
      <w:r>
        <w:t>IT: TAF D-1679/2013 del 29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 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vgl. Art. 3 AsylG).</w:t>
      </w:r>
    </w:p>
    <w:p>
      <w:r>
        <w:rPr>
          <w:b/>
        </w:rPr>
        <w:t>E. 4.2</w:t>
      </w:r>
    </w:p>
    <w:p>
      <w:r>
        <w:t>Für Asylgesuche, die im Ausland vor Inkrafttreten der Asylgesetzänderung vom 28. September 2012 gestellt worden sind, gelten die Artikel 12, 19, 20, 41 Abs. 2, 52 und 68 in der bisherigen Fassung (vgl. Übergangsbestimmung zur Änderung vom 28. September 2012).</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5.1</w:t>
      </w:r>
    </w:p>
    <w:p>
      <w:r>
        <w:t>Zur Begründung seiner Verfügung führte das BFM aus, dass der Be­schwerdeführer in Eritrea eine asylbeachtli­che Verfolgung zu befürchten hätte. Ferner sei nicht zu ver­kennen, dass die zahlreichen eritreischen Flüchtlinge im Sudan unter nicht einfachen Aufenthaltsbedingungen litten. Es bestünden indes keine Anhaltspunkte dafür, dass den Beschwerdefüh­renden ein weiterer Aufenthalt im Sudan nicht zuzu­muten sei. Laut Berich­ten des UNHCR befänden sich zahlreiche eritreische Flüchtlinge und Asylbewerber im Sudan. Vor diesem Hintergrund sei nicht zu verkennen, dass die Lage vor Ort für diese Menschen wie auch für die Be­schwerdeführenden nicht einfach sei. Dennoch bestünden keine konkre­ten Anhaltspunkte für die Annahme, dass ein weitere Verbleib im Sudan für sie nicht zumutbar oder nicht möglich sei. Flüchtlinge im Sudan, die vom UNHCR registriert und einem Flüchtlingslager zugeteilt worden seien, wo sie sich aufzuhalten hätten, erhielten die nötige Versorgung. Sie verfügten im Sudan nicht über ein freies Aufenthaltsrecht für das ganze Land. Es sei ihnen daher zuzumuten, wieder in das ihnen zugewiesen Flüchtlingslager zurückzukehren, sollte ihre Situation kritisch sein. Das BFM stellt nicht in Abrede, dass das Leben für eritreische Flüchtlinge in Khartoum nicht einfach ist. Aufgrund des langjährigen Aufenthalts der Beschwerdeführenden im Sudan könne jedoch davon ausgegangen werden, dass für sie die Hürden für eine zumutbar Existenz nicht unüberwindbar gewesen seien auch wenn sie unter religiöser Diskriminierung, unter familiären Problemen und einem schwierigen Zu­gang zum Arbeitsmarkt leiden würden. Zudem würden eine schwierige Lebenssituation und insofern humanitäre Überlegungen keinen Grund für eine Einreisebewilligung darstellen. Überdies würde im Sudan eine grosse eritreische Diaspora leben, die für in Not geratene Landsleute bereitstehe und weitgehend Unterstützung biete. Bezüglich der Religionsfreiheit im Sudan schloss das BFM nicht zum vornherein aus, dass die Beschwerdeführenden deshalb gewisse Schwierigkeiten haben könnten. Es sei dem BFM bekannt, dass Christen im Sudan Opfer von Diskriminierungen sein könnten. Im Sudan bekenne sich eine Mehrheit zum Islam sunnitischer Richtung. Christen würden nach unterschiedli­chen Schätzungen zwischen 5 - 10 % der Gesamtbevölkerung stellen. Es befänden sich in den Städten des Sudan neben kleineren Gemeinden alteingesessener, häufig orthodoxer bezie­hungsweise mit Rom unierter Kirchen auch zahlreiche Christen unterschiedlicher Konfessionen. Die im Juli 2005 unterzeichnete Übergangsverfassung für Sudan garantiere, ebenso wie die vorherige Verfassung von 1998, Religionsfreiheit. Die christlichen Gemeinschaften seien grundsätzlich anerkannt, ausserdem zählten Weihnachten und Os­tern, auch das orthodoxe Ostern, zu den staatlichen Feiertagen. Christli­che Kirchen dürften sich nach dem Gesetz bei Seelsorge, Ausbildung, Schulen, Kindergärten und sozialen Einrichtungen frei betätigen. Nach der Schaffung der Regierung der Nationalen Einheit im Juli 2005 gehöre ein Vizepräsident des Sudan dem Christentum an. Auch unter den Regie­rungsmitgliedern befänden sich mehrere Christen. Im Sudan herrsche demzufolge keine allgemeine und staatliche Unterdrückung oder Verfol­gung von Christen. In Anbetracht der Tatsache, dass die Beschwerdeführenden seit längerem im Sudan gelebt hätten, ohne dass es zu konkreten Vorfällen gekommen sei, könne nicht von einer ernsthaf­ten oder drohenden Verfolgungsabsicht ausgegangen werden. Zudem gebe es in Khartoum offizielle Kirchen ihrer Glaubensrichtung, an welche sie sich wenden könnten. Die sudanesi­schen Behörden hätten ihnen bezüglich religiöser Diskriminierungen, auch wenn sie innerfamiliär seien, Schutz zu bieten. Ihren Angaben zu­folge würden keine nahen Verwand­ten oder Bezugspersonen in der Schweiz leben. Auch aus den Akten seien sonst keine Hinweise auf allfäl­lige Anknüpfungspunkte zur Schweiz ersichtlich. Aufgrund dessen sei keine besondere Beziehungsnähe zur Schweiz gegeben, die die vorange­gangenen Feststellungen umstossen könnte. Demnach benötigten die Beschwerdeführenden den zusätzlichen subsidiären Schutz der Schweiz gemäss Art. 52 Abs. 2 AsylG nicht. Es sei ihnen daher zuzumuten, im Su­dan zu bleiben. Die Anträge auf Einreiseerlaubnis und Gewährung des Asyls seien damit abzulehnen.</w:t>
      </w:r>
    </w:p>
    <w:p>
      <w:r>
        <w:rPr>
          <w:b/>
        </w:rPr>
        <w:t>E. 5.2</w:t>
      </w:r>
    </w:p>
    <w:p>
      <w:r>
        <w:t>Die Beschwerdeführenden halten in der Rechtsmitteleingabe an der von ihnen geltend gemachten Gefährdungssituation fest und verweisen in diesem Zusammenhang auf ihre bisherigen Eingabe und Vorbringen. Zu­dem erklärt der Beschwerdeführer er müsste um Asyl ersuchen, bevor er unmittelbar gefährdet sei. Gleichzeitig zeigt er an, dass im Jahr 2012 ihr Sohn H._______ zur Welt gekommen sei.</w:t>
      </w:r>
    </w:p>
    <w:p>
      <w:r>
        <w:rPr>
          <w:b/>
        </w:rPr>
        <w:t>E. 6.1</w:t>
      </w:r>
    </w:p>
    <w:p>
      <w:r>
        <w:t>Gemäss Praxis zu Art. 20 AsylG und Art. 10 der Asylverordnung 1 vom 11. August 1999 über Verfahrensfragen (AsylV 1, SR 142.311) ist im Auslandverfahren die asylsuchende Person in der Regel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der asylsuchenden Person ist diesbezüglich das rechtliche Gehör zu gewäh­ren. Das Bundesamt ist gehalten, den Verzicht auf eine Befragung im Ausland in der Verfügung zu begründen (vgl. BVGE 2007/30 E. 5.8 S. 367 f.).</w:t>
      </w:r>
    </w:p>
    <w:p>
      <w:r>
        <w:rPr>
          <w:b/>
        </w:rPr>
        <w:t>E. 6.2</w:t>
      </w:r>
    </w:p>
    <w:p>
      <w:r>
        <w:t>Im vorliegenden Fall wurde auf eine Botschaftsbefragung der Beschwerdeführenden zu ihrem Asylgesuch verzichtet. Das BFM begrün­dete in seinem Schreiben vom 20. Juni 2011 diesen Verzicht damit, dass eine Anhörung aus kapazitätsmässigen Gründen nicht möglich sei, da die Schweizer Botschaft aufgrund der stark gestiegenen Anzahl von Asylgesuchen, des begrenzten Personalbestandes sowie fehlenden Voraus­setzungen im sicherheitstechnischen und räumlichen Bereich nicht in der Lage sei, Befragungen durchzuführen. Sodann setzte es den Be­schwerdeführenden Frist bis zum 20. Juli 2011 zur Einreichung einer ergänzenden Stellungnahme zur Vervollständigung des rechtserheblichen Sachverhaltes anhand eines Fragenkataloges. Der Beschwerdeführer antwortete mit Schreiben vom 18. Juli 2011 (Eingangsstempel der Schweizer Botschaft in Khartoum).</w:t>
      </w:r>
    </w:p>
    <w:p>
      <w:r>
        <w:rPr>
          <w:b/>
        </w:rPr>
        <w:t>E. 7.1</w:t>
      </w:r>
    </w:p>
    <w:p>
      <w:r>
        <w:t>In Übereinstimmung mit der Vorinstanz ist zunächst festzustellen, dass eine flüchtlingsrechtlich relevante Gefährdung des Beschwerdefüh­rers im Falle seiner Rückkehr nach Eritrea durchaus gegeben sein könnte. Die Beschwerdeführenden befinden sich aktuell indes im Sudan, was hinsichtlich der bei ei­nem im Ausland gestellten Asylgesuch weiter zu prüfenden Frage, ob ihnen die Aufnahme in einem Drittstaat zugemutet werden kann, zu berück­sichtigen ist (Art. 52 Abs. 2 AsylG). Im Sudan ist der Beschwerdeführer gemäss seinen eigenen Angaben seit dem 16. Ja­nuar 2009, die Beschwerdeführerin ist ihm noch im selben Jahr gefolgt.</w:t>
      </w:r>
    </w:p>
    <w:p>
      <w:r>
        <w:rPr>
          <w:b/>
        </w:rPr>
        <w:t>E. 7.2</w:t>
      </w:r>
    </w:p>
    <w:p>
      <w:r>
        <w:t>Die Argumente der Beschwerdeführenden sind nicht derart, dass es für sie in Berücksichtigung der heutigen Situation im Sudan objek­tiv un­zu­mutbar erscheint, den in diesem Land gegenüber der Verfol­gungsge­fahr im Heimatstaat bestehenden Schutz weiterhin in Anspruch zu neh­men. So ist es ihnen unbenommen, sich im Bedarfsfall an die örtliche Vertre­tung des UNHCR zu wenden, falls sie sich bedroht fühlen sollten. Im Sinne der vo­rinstanzlichen Sichtweise bestehen indes keine Anhalts­punkte für ihnen konkret drohende und relevante Nachteile. Ausserdem haben sie grundsätz­lich die Möglichkeit, sich wie­der in einem Flüchtlingslager des UNHCR nie­derzulassen, falls sie sich an seinem aktuellen Aufenthaltsort ausser­halb eines Lagers nicht hinreichend sicher fühlen sollten. Im Weiteren kann auf die zutreffen­den Ausführungen des BFM verwiesen werden. Dies gilt auch in Bezug auf die geltend gemachte Gefahr einer Deportation nach Erit­rea; die Vorinstanz erwähnt in diesem Zu­sammenhang diverse Urteile des Bundesverwaltungsgerichts (beim zi­tierten Urteil E-3498/2011 handelt es sich indes offenbar um E-3489/2011), welche eine solche Gefahr in den jeweils zu beurteilenden Fällen verneinten. Im Sinne der im Urteil D-6681/2011 vom 11. Oktober 2012 erwähnten Länderanalyse der Schweizerischen Flüchtlingshilfe (SFH) vom Juni 2011 besteht für eritreische Flüchtlinge im Sudan zwar unter Umständen durchaus ein gewisses Risiko einer Deportation; bei den Be­schwerdeführenden, welche offenbar bereits seit 2009 im Sudan leben, wo sie sowohl im Flüchtlingslager G._______ als auch in Khar­toum gewohnt haben und gemäss Aktenlage politisch nicht aktiv sind, er­gibt sich jedoch kein Profil, das sie einer konkreten Gefahr der Deporta­tion aussetzen könnte. Zudem gilt es zu berücksichtigen, dass die Be­schwerdeführenden seit 2009 unbehelligt im Sudan leben konnten, was gerade als Hinweis darauf zu werten ist, dass ihnen keine Deporta­tion nach Eritrea drohen dürfte. Zudem ist auch hier anzumerken, dass sie im Sudan grundsätzlich gehalten wären, in ein Flüchtlingslager zurückzukeh­ren, was wiederum eine Gefahr der Deportation in den Heimatstaat weiter minimieren dürfte. In diesem Flüchtlingslager kann auch die allenfalls benötigte medizinische Versorgung für den im Jahr 2012 geborenen Sohn H._______ der Beschwerdeführenden gewährleistet werden. Zudem wird durch [ein von den sudanesischen Behörden ausgestelltes Dokument] des Beschwerdeführers unterstrichen, dass er und seine Familie als Flücht­linge registriert wurden und den nötigen Schutz erhalten.</w:t>
      </w:r>
    </w:p>
    <w:p>
      <w:r>
        <w:rPr>
          <w:b/>
        </w:rPr>
        <w:t>E. 7.3</w:t>
      </w:r>
    </w:p>
    <w:p>
      <w:r>
        <w:t>Eine Schutzgewährung durch die Schweiz aufgrund einer entsprechenden Schutzbedürftigkeit erscheint somit gestützt auf Art. 52 Abs. 2 AsylG unter Berücksichtigung aller Umstände nicht als erforderlich.</w:t>
      </w:r>
    </w:p>
    <w:p>
      <w:r>
        <w:rPr>
          <w:b/>
        </w:rPr>
        <w:t>E. 7.4</w:t>
      </w:r>
    </w:p>
    <w:p>
      <w:r>
        <w:t>Ferner machen die Beschwerdeführenden nicht geltend, in der Schweiz hiel­ten sich nahe Verwandte auf. Auch der in der Schweiz le­bende (Halb-)Neffe des Beschwerdeführers machte keine besondere Beziehung seiner Familie zu derjenigen der Beschwerdeführenden geltend. Eine Bewilligung der Einreise unter dem As­pekt des Famili­ennachzugs kommt mithin ebenfalls nicht in Betracht (vgl. Art. 51 AsylG).</w:t>
      </w:r>
    </w:p>
    <w:p>
      <w:r>
        <w:rPr>
          <w:b/>
        </w:rPr>
        <w:t>E. 7.5</w:t>
      </w:r>
    </w:p>
    <w:p>
      <w:r>
        <w:t>Zusammenfassend ergibt sich, dass das BFM zutreffend festgestellt hat, die Beschwerdeführenden sei nicht schutzbedürftig im Sinne des Asyl­gesetzes. Unter diesen Umständen hat das Bundesamt zu Recht die Ertei­lung der Einreisebewilligung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