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D-1677/2013 vom 26. Juni 2013</w:t>
      </w:r>
    </w:p>
    <w:p>
      <w:r>
        <w:t>Bundesverwaltungsgericht, 2013-06-26, DE</w:t>
      </w:r>
    </w:p>
    <w:p>
      <w:r>
        <w:rPr>
          <w:b/>
        </w:rPr>
        <w:t xml:space="preserve">Quelle: </w:t>
      </w:r>
      <w:r>
        <w:t>https://mcp.opencaselaw.ch/entscheid/bvger_D-1677_2013</w:t>
      </w:r>
    </w:p>
    <w:p>
      <w:r>
        <w:t>FR: TAF D-1677/2013 du 26 juin 2013</w:t>
      </w:r>
    </w:p>
    <w:p>
      <w:r>
        <w:t>IT: TAF D-1677/2013 del 26 giugno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Partei Schutz sucht (Art. 105 AsylG;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praxisgemäss verzichtet werden, da der in Englisch verfassten Beschwerdeeingabe genügend klare, sinngemässe Rechtsbegehren und deren Begründung zu entnehmen sind und ohne Weiteres darüber befun­den werden kann.</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6.1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6.2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6.3</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 Das BFM hat in der angefochtenen Verfügung zutreffend ausgeführt, dass infolge der hohen Anzahl eritreischer Flüchtlinge im Sudan deren Lage nicht einfach ist. Dennoch bestehen im vorliegenden Verfahren keine kon­kreten Anhaltspunkte für die Annahme, dass ein weiterer Verbleib im Sudan, wo die Beschwerdeführenden eigenen Angaben zufolge seit rund vier Jahren leben, nicht zumutbar oder nicht möglich ist. Zwar werden durch die sudanesischen Behörden tatsächlich teilweise eritreische Asylsuchende und Flüchtlinge nach Eritrea deportiert. Diese Rückführungen erfolgen indessen keineswegs flächendeckend. Im vorliegenden Fall bestehen keine konkreten Hinweise auf eine drohende Deportation der Beschwerdeführenden. Es bleibt den Beschwerdeführenden, die sich aus Sicherheitsüberlegungen nicht in dem ihnen zugewiesenen Flüchtlingscamp, sondern in D._______ beziehungsweise E.______ niedergelassen haben, sodann unbenommen, als beim UNHCR registrierte Flüchtlinge in das ihnen zugewiesene Camp zurückzukehren. Die in diesem Zusammen­hang geäusserten Befürchtungen vor einer Entführung aus einem UNHCR-Camp sind angesichts der diesbezüglichen Situation vor Ort zwar nachvollziehbar. Das BFM hat jedoch in der angefochtenen Verfügung übereinstimmend mit der Praxis des Bundesverwaltungsgerichts er­wogen, gemäss gesicherten Erkenntnissen sei das Risiko einer Deportation oder Verschleppung für Eritreer, die im Sudan vom UNHCR als Flücht­linge anerkannt sind, gering (vgl. statt vieler Urteil E-4417/2011 vom 9. Feb­ruar 2012 E. 6.5.3).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Ferner weist der Beschwerdeführer kein Profil auf, welches ihn mit erheblicher Wahrscheinlichkeit zum Ziel eines Entführungsversuches machen würde. Im Weiteren ist hinsichtlich der geltend gemachten Schwierigkeiten, in Khartum aufgrund seines christlichen Glaubens beziehungsweise wegen seiner angeblichen Abkehr vom Islam von religiösen Gruppierungen behelligt zu werden, festzuhalten, dass gemäss gesicherten Kenntnissen des Bundesverwaltungsgerichts im Sudan die Religi­onsfreiheit in der Verfassung verankert ist und keine Gruppenver­folgung von Christen betrieben wird. Etwa 5 - 10% der Gesamtbevölke­rung im Sudan sind Christen. Die christlichen Gemeinschaften sind grundsätzlich an­erkannt und die christlichen Kirchen dürfen sich nach dem Gesetz bei Seelsorge, Ausbildung, Schulen, Kindergärten und sozialen Ein­richtungen frei betätigen. Zwar können, wie vom Beschwerdeführer geltend gemacht, vereinzelte Diskri­minierungen von Christen im Sudan - vor allem in den mehrheitlich von Muslimen bewohnten Regionen - nicht ausgeschlossen werden; diesen kann sich der Beschwerdeführer jedoch durch die Rückkehr in das ihm zugewiesene Flüchtlingscamp entziehen. Zusammenfassend ist festzuhalten, dass vorliegend keine konkreten Hin­weise dafür bestehen, die Beschwerdeführenden seien gegenwärtig einer Ge­fährdung ausgesetzt oder hätten eine unmittelbar drohende Deportation nach Eritrea oder eine Entführung durch terroristische Gruppen zu befürch­ten. Schliesslich ist festzustellen, dass keine nahen Verwandten oder Be­zugs­personen der Beschwerdeführenden in der Schweiz leben, und den Akten auch sonst keine Hinweise auf Anknüpfungspunkte zur Schweiz zu entnehmen sind.</w:t>
      </w:r>
    </w:p>
    <w:p>
      <w:r>
        <w:rPr>
          <w:b/>
        </w:rPr>
        <w:t>E. 6.4</w:t>
      </w:r>
    </w:p>
    <w:p>
      <w:r>
        <w:t>Die Beschwerdeführenden vermochten insgesamt nicht aufzuzeigen, dass sie auf die Schutzgewährung durch die Schweiz angewiesen sind be­ziehungsweise ihnen gerade die Schweiz den erforderlichen Schutz ge­währen muss. Der weitere Verbleib im Sudan ist ihnen nach dem Gesagten zuzumuten und die Vorinstanz hat ihnen zu Recht die Einreise in die Schweiz verweigert und die Asylgesuche abgelehnt.</w:t>
      </w:r>
    </w:p>
    <w:p>
      <w:r>
        <w:rPr>
          <w:b/>
        </w:rPr>
        <w:t>E. 7</w:t>
      </w:r>
    </w:p>
    <w:p>
      <w:r>
        <w:t>Aus diesen Erwägungen ergibt sich, dass die angefochtene Verfügung Bun­desrecht nicht verletzt, den rechtserheblichen Sachverhalt richtig und voll­ständig feststellt und angemessen ist (Art. 106 Abs. 1 AsylG). Das BFM hat die Asylgesuche und Gesuche um Einreise in die Schweiz zu Recht abgelehnt. Die Beschwerde ist nach dem Gesagten abzuweisen.</w:t>
      </w:r>
    </w:p>
    <w:p>
      <w:r>
        <w:rPr>
          <w:b/>
        </w:rPr>
        <w:t>E. 8</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