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D-1675/2013 vom 24. April 2013</w:t>
      </w:r>
    </w:p>
    <w:p>
      <w:r>
        <w:t>Bundesverwaltungsgericht, 2013-04-24, DE</w:t>
      </w:r>
    </w:p>
    <w:p>
      <w:r>
        <w:rPr>
          <w:b/>
        </w:rPr>
        <w:t xml:space="preserve">Quelle: </w:t>
      </w:r>
      <w:r>
        <w:t>https://mcp.opencaselaw.ch/entscheid/bvger_D-1675_2013</w:t>
      </w:r>
    </w:p>
    <w:p>
      <w:r>
        <w:t>FR: TAF D-1675/2013 du 24 avril 2013</w:t>
      </w:r>
    </w:p>
    <w:p>
      <w:r>
        <w:t>IT: TAF D-1675/2013 del 24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nicht in einer Amtssprache des Bundes abgefasst. Auf die Ansetzung einer Frist zur Beschwerdeverbesserung kann indessen verzichtet werden, da der in Englisch verfassten Beschwerdeeingabe genügend klare, sinngemäss Rechtsbegehren und deren Begründung zu entnehmen sind und ohne Weiteres darüber befunden werden kann.</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1.5</w:t>
      </w:r>
    </w:p>
    <w:p>
      <w:r>
        <w:t>Gestützt auf Art. 33a Abs. 2 VwVG i.V.m. Art. 6 AsylG ergeht der vorliegende Entscheid in deutscher Sprache.</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der dringlichen Änderung des Asylgesetzes vom 28. September 2012 (AS 2012 5359), welche am 29. September 2012 in Kraft trat, wurden unter anderem die Bestimmungen betreffend die Stellung von Asylgesuchen aus dem Ausland aufgehoben. Die Übergangsregelungen halten jedoch fest, dass für die im Ausland vor dem Inkrafttreten der Änderung vom 28. September 2012 gestellten Gesuche die massgeblichen Artikel (Art. 12, 19, 20, 41 Abs. 2, 52 und 68 AsylG) in der bisherigen Fassung anwendbar sind. Demnach sind auf den vorliegenden Fall die bisherigen Bestimmungen betreffend das Auslandverfahren anzuwenden.</w:t>
      </w:r>
    </w:p>
    <w:p>
      <w:r>
        <w:rPr>
          <w:b/>
        </w:rPr>
        <w:t>E. 4.1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w:t>
      </w:r>
    </w:p>
    <w:p>
      <w:r>
        <w:rPr>
          <w:b/>
        </w:rPr>
        <w:t>E. 4.2.1</w:t>
      </w:r>
    </w:p>
    <w:p>
      <w:r>
        <w:t>Der Beschwerdeführer wurde nicht zu seinem Asylgesuch befragt. Er hat seine Vorbringen jedoch bereits im Asylgesuch vom 14. Dezember 2010 schriftlich dargelegt (vgl. Sachverhalt Bst. A). Zudem wurde ihm in der Folge mit Zwischenverfügung des BFM vom 20. Juni 2011 ein Katalog von für die vollständige Erstellung des rechtserheblichen Sachverhalts noch zu beantwortenden offenen Fragen zugestellt, wozu er am 14. Juli 2011 schriftlich Stellung genommen hat (vgl. Sachverhalt Bst. C). Der entscheidwesentliche Sachverhalt (vgl. Sachverhalt Bst. D) erscheint angesichts der diversen schriftlichen Dar­legung der Asylgründe (vgl. auch Sachverhalt Bst. B und E) soweit erstellt, dass die entscheidrelevanten Elemente vorliegen.</w:t>
      </w:r>
    </w:p>
    <w:p>
      <w:r>
        <w:rPr>
          <w:b/>
        </w:rPr>
        <w:t>E. 4.2.2</w:t>
      </w:r>
    </w:p>
    <w:p>
      <w:r>
        <w:t>Bei dieser Sachlage bestand keine Veranlassung, den Beschwer­deführer vor­gängig eines Entscheides durch eine schweizerische Vertretung zu­sätzlich persönlich anhören zu lassen. Das BFM hat den verfahrens­rechtlichen Anforderungen damit Genüge getan (vgl. BVGE 2007/30).</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Die Einreise ist aber selbst im Falle einer allfälligen Schutzbedürftigkeit zu verweigern, wenn Asylausschlussgründe vorliegen (vgl. BVGE 2011/10 E. 3.3 S. 126 und E. 5.1 S. 128, vgl. auch die Zusammenfassung der Rechtsprechung im Urteil D-2018/2011 vom 14. September 2011 E. 7.1).</w:t>
      </w:r>
    </w:p>
    <w:p>
      <w:r>
        <w:rPr>
          <w:b/>
        </w:rPr>
        <w:t>E. 5.1</w:t>
      </w:r>
    </w:p>
    <w:p>
      <w:r>
        <w:t>Zunächst ist darauf hinzuweisen, dass das Bundesverwaltungsgericht mit der Vorinstanz einig geht, dass der Beschwerdeführer aufgrund der von ihm dargelegten Vergangenheit in seinem Heimatstaat vor seiner Ausreise aus Eritrea ernstzunehmende Schwierigkeiten mit den eritreischen Behörden hatte, die insgesamt geeignet erscheinen, eine begründete Furcht vor ernsthaften Nachteilen im Sinne von Art. 3 AsylG glaubhaft zu machen.</w:t>
      </w:r>
    </w:p>
    <w:p>
      <w:r>
        <w:rPr>
          <w:b/>
        </w:rPr>
        <w:t>E. 5.2</w:t>
      </w:r>
    </w:p>
    <w:p>
      <w:r>
        <w:t>Hält sich die asylsuchende Person - wie im vorliegenden Fall - in einem Drittstaat auf, bedeutet dies noch nicht zwingend, dass es ihr auch zuzu­muten ist, sich dort um Aufnahme zu bemühen. In einem solchen Fall ist aber im Sinne einer Vermutung davon auszugehen, die betreffende Per­son habe in diesem Drittstaat bereits den erforderlichen Schutz gefunden, was in der Regel zur Ablehnung des Asylgesuchs und der Verweigerung der Einreisebewilligung führt. In jedem Falle sind die Kriterien zu prüfen, welche die Zufluchtnahme in diesem Drittstaat als zumutbar erscheinen lassen, und diese sind mit einer allfälligen Beziehungsnähe zur Schweiz abzuwägen (vgl. BVGE 2011/10). Vorab ist festzuhalten, dass sich die Beschwerde sinngemäss auf eine grundsätzliche Wieder­holung der bisherigen Vorbringen beschränkt. Die Überprüfung der Akten ergibt sodann, dass sich die diesbezüglichen Erwägungen in der angefochtenen Verfügung als zutreffend erweisen (vgl. Sachverhalt Bst. F). Das BFM hat in seiner Verfügung vom 17. September 2012 zutreffend ausgeführt, dass infolge der hohen Anzahl eritreischer Flüchtlinge im Sudan deren Lage nicht einfach ist. Dennoch bestehen im vorliegenden Verfahren keine konkreten Anhaltspunkte für die Annahme, dass ein weiterer Verbleib im Sudan, wo der Beschwerdeführer seit April 2008 lebt und vom UNHCR als Flüchtling registriert ist, nicht zumutbar oder nicht möglich ist. Zwar werden durch die sudanesischen Behörden - wie in der Beschwerde hinsichtlich von Zwischenfällen im Rahmen von roundups mit der Polizei oder dem Militär geltend gemacht - tatsächlich teilweise eritreische Asylsuchende und Flüchtlinge nach Eritrea deportiert. Diese Rückführungen erfolgen indessen nicht flächendeckend. Er ist im Sudan einem Flüchtlingscamp zugewiesen worden, hat es jedoch den Akten zufolge vorgezogen, sich in Khartum aufzuhalten, wo er die Sicherheit für eritreische Flüchtlinge für besser aber gleichwohl nicht sicher genug erachtet. Sollte er eine Deportation ernsthaft befürchten, wäre es ihm zuzumuten, in das ihm zugewiesene Flüchtlingscamp zurückzukehren. Im Übrigen hat das BFM in seiner Verfügung vom 17. September 2012 übereinstimmend mit der Praxis des Bundesverwaltungsgerichts erwogen, gemäss gesicherten Erkenntnissen sei das Risiko einer Deportation oder Verschleppung für Eritreer, die im Sudan vom UNHCR als Flüchtlinge anerkannt sind, gering (vgl. statt vieler Urteil E-4417/2011 vom 9. Februar 2012 E. 6.5.3). Dem Bericht der Schweizerischen Flüchtlingshilfe (SFH) vom 5. Juli 2012 zufolge, der die Gefahr von Deportationen, Entführungen und Lösegelderpressungen von eritreischen Flüchtlingen im Sudan thematisiert und auf die schwierige Situation hinweist, kann ausserdem entnommen werden, dass insbesondere das UNHCR, die International Organisation for Migration (IOM) und die sudanesischen Behörden bestrebt sind, die Situation zu verbessern. Seine erstmals in dieser Form auf Beschwerdestufe mit Hinweisen auf Internetseiten in diesem Zusammenhang geäusserten Befürchtungen sind nicht geeignet, daran etwas zu ändern. Schliesslich lebt er - wie bereits erwähnt - seit fast fünf Jahren im Sudan und vermochte eine gewisse Selbständigkeit zu entfalten. Gemäss seinen Angaben in der Beschwerde geht er Gelegenheitsarbeiten nach. In diesem Zusammenhang ist auch auf die grosse eritreische Gemeinschaft in Khartum zu verweisen, die eine weitere Eingliederung ebenfalls erleichtert. Zu den vom Beschwerdeführer geltend gemachten Diskriminierungen, die er als Christ im Sudan erlebt, ist festzuhalten, dass gemäss gesicherten Kenntnissen des Bundesverwaltungsgerichts im Sudan die Religi­onsfreiheit in der Verfassung verankert ist und keine Gruppenver­folgung von Christen betrieben wird. Etwa 5 - 10% der Gesamtbevölke­rung im Sudan sind Christen. Die christlichen Gemeinschaften sind grundsätzlich an­erkannt und die christlichen Kirchen dürfen sich nach dem Gesetz bei Seelsorge, Ausbildung, Schulen, Kindergärten und sozialen Ein­richtungen frei betätigen. Zwar können vereinzelte Diskri­minierungen von Christen im Sudan - vor allem in den mehrheitlich von Muslimen bewohnten Regionen - nicht ausgeschlossen werden, diesen kann sich der Beschwerdeführer durch eine Zuweisung zu einem Flüchtlingscamp jedoch weitgehend entziehen. Zusammenfassend ist festzuhalten, dass vorliegend keine konkreten Hinweise dafür bestehen, der Beschwerdeführer sei gegenwärtig einer konkreten Gefährdung ausgesetzt oder habe eine unmittelbar drohende Deportation nach Eritrea oder eine Entführung durch terroristische Gruppen zu befürchten. Schliesslich ist festzustellen, dass keine nahen Verwandten oder Bezugspersonen des Beschwerdeführers in der Schweiz leben, und den Akten auch sonst keine Hinweise auf Anknüpfungspunkte zur Schweiz zu entnehmen sind.</w:t>
      </w:r>
    </w:p>
    <w:p>
      <w:r>
        <w:rPr>
          <w:b/>
        </w:rPr>
        <w:t>E. 5.3</w:t>
      </w:r>
    </w:p>
    <w:p>
      <w:r>
        <w:t>Der Beschwerdeführer vermochte insgesamt nicht aufzuzeigen, dass er auf die Schutzgewährung durch die Schweiz angewiesen ist beziehungsweise ihm gerade die Schweiz den erforderlichen Schutz gewähren muss. Der weitere Verbleib im Sudan ist ihm nach dem Gesagten zuzumuten und die Vorinstanz hat ihm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Das BFM hat das Asylgesuch und Gesuch um Einreise in die Schweiz zu Recht abgelehnt. Die Beschwerde ist nach dem Gesagten abzuweisen.</w:t>
      </w:r>
    </w:p>
    <w:p>
      <w:r>
        <w:rPr>
          <w:b/>
        </w:rPr>
        <w:t>E. 7</w:t>
      </w:r>
    </w:p>
    <w:p>
      <w:r>
        <w:t>Bei diesem Ausgang des Verfahrens wären die Kosten grundsätzlich dem Beschwerdeführer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