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D-1674/2014 vom 17. April 2014</w:t>
      </w:r>
    </w:p>
    <w:p>
      <w:r>
        <w:t>Bundesverwaltungsgericht, 2014-04-17, DE</w:t>
      </w:r>
    </w:p>
    <w:p>
      <w:r>
        <w:rPr>
          <w:b/>
        </w:rPr>
        <w:t xml:space="preserve">Quelle: </w:t>
      </w:r>
      <w:r>
        <w:t>https://mcp.opencaselaw.ch/entscheid/bvger_D-1674_2014</w:t>
      </w:r>
    </w:p>
    <w:p>
      <w:r>
        <w:t>FR: TAF D-1674/2014 du 17 avril 2014</w:t>
      </w:r>
    </w:p>
    <w:p>
      <w:r>
        <w:t>IT: TAF D-1674/2014 del 17 aprile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vorliegend nicht zutrifft - bei Vorliegen eines Auslieferungsgesuches des Staates, vor welchem die beschwerdeführende Person Schutz sucht (Art. 105 des Asylgesetzes vom 26. Juni 1998 [AsylG, SR 142.31]; Art. 83 Bst. c Ziff. 1 und Bst. d Ziff. 1 des Bundesgerichtsgesetzes vom 17. Juni 2005 [BGG, SR 173.110]).</w:t>
      </w:r>
    </w:p>
    <w:p>
      <w:r>
        <w:rPr>
          <w:b/>
        </w:rPr>
        <w:t>E. 1.2</w:t>
      </w:r>
    </w:p>
    <w:p>
      <w:r>
        <w:t>Mit den dringlichen Änderungen des Asylgesetzes vom 28. Septem­ber 2012 (AS 2012 5359), welche am 29. September 2012 in Kraft getreten sind, wurden unter anderem die Bestimmungen betreffend die Stellung von Asylgesuchen aus dem Ausland aufgehoben. Die Übergangsbestimmung (Ziffer III) hält jedoch fest, dass für die im Ausland vor dem Inkrafttreten der Änderung vom 28. September 2012 gestellten Gesuche die massgeblichen Artikel (Art. 12, 19, 20, 41 Abs. 2, 52 und 68 aAsylG) in der bisherigen Fassung anwendbar sind. Demnach sind auf den vorliegenden Fall die bisherigen Bestimmungen betreffend das Auslandverfahren anzuwenden.</w:t>
      </w:r>
    </w:p>
    <w:p>
      <w:r>
        <w:rPr>
          <w:b/>
        </w:rPr>
        <w:t>E. 2.1</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ist somit einzutreten (Art. 108 Abs. 1 AsylG; Art. 105 AsylG i.V.m. Art. 37 VGG und Art. 52 Abs. 1 VwVG).</w:t>
      </w:r>
    </w:p>
    <w:p>
      <w:r>
        <w:rPr>
          <w:b/>
        </w:rPr>
        <w:t>E. 2.2</w:t>
      </w:r>
    </w:p>
    <w:p>
      <w:r>
        <w:t>Mit Beschwerde können die Verletzung von Bundesrecht und die unrichtige und unvollständige Feststellung des rechtserheblichen Sachverhalts gerügt werden (Art. 106 Abs. 1 AsylG).</w:t>
      </w:r>
    </w:p>
    <w:p>
      <w:r>
        <w:rPr>
          <w:b/>
        </w:rPr>
        <w:t>E. 3</w:t>
      </w:r>
    </w:p>
    <w:p>
      <w:r>
        <w:t>Gestützt auf Art. 111a Abs. 1 AsylG wurde vorliegend auf die Durchführung eines Schriftenwechsels verzichtet.</w:t>
      </w:r>
    </w:p>
    <w:p>
      <w:r>
        <w:rPr>
          <w:b/>
        </w:rPr>
        <w:t>E. 4.1</w:t>
      </w:r>
    </w:p>
    <w:p>
      <w:r>
        <w:t>Das Bundesamt kann ein im Ausland gestelltes Asylgesuch ablehnen, wenn die asylsuchende Person keine Verfolgung glaubhaft machen oder ihr die Aufnahme in einem Drittstaat zugemutet werden kann (Art. 3, Art. 7 und Art. 52 Abs. 2 aAsylG). Gemäss Art. 20 Abs. 2 aAsylG bewilligt das BFM einem Asylsuchenden die Einreise zur Abklärung des Sachverhalts, wenn ihm nicht zugemutet werden kann, im Wohnsitz- oder Aufent­haltsstaat zu bleiben oder in ein anderes Land auszureisen. Gestützt auf Art. 20 Abs. 3 aAsylG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UrteilD-2018/2011 vom 14. September 2011 E. 7.1).</w:t>
      </w:r>
    </w:p>
    <w:p>
      <w:r>
        <w:rPr>
          <w:b/>
        </w:rPr>
        <w:t>E. 5.1</w:t>
      </w:r>
    </w:p>
    <w:p>
      <w:r>
        <w:t>Der Beschwerdeführer begründete sein Asylgesuch im Wesentlichen damit, er fürchte sich aufgrund seiner früheren Inhaftierungen unter dem Verdacht, die LTTE unterstützt zu haben, sowie der Tatsache, auch noch im Jahre 2012 viermal vom CID verhört worden zu sein, davor, erneut inhaftiert zu werden. Diesbezüglich ist festzuhalten, dass die beiden früheren mehrtägigen Inhaftierungen des Beschwerdeführers in den Jahren 2007 und 2009 aus subjektiver Sicht dessen Furcht vor einer zukünftigen Verfolgung zwar nachvollziehbar erscheinen lassen. Ungeachtet dessen lässt der Umstand, dass der Beschwerdeführer seit seiner letztmaligen Inhaftierung zwischen dem 19. und dem 21. Juni 2009 nie mehr inhaftiert worden ist, darauf schliessen, dass er aktuell keine politisch indizierte Verfolgung durch die heimatlichen Behörden zu gewärtigen hat. An dieser Einschätzung vermag auch der Umstand nichts zu ändern, dass der Beschwerdeführer eigenen Angaben zufolge seit etwa Mitte März 2012 insgesamt viermal ins Hauptgebäude des CID beordert und dort verhört worden sein soll. Hätte ihn das CID nämlich tatsächlich nachhaltig einer früheren Unterstützung der LTTE verdächtigt, hätte es ihn damals nicht nur befragt, sondern festgenommen, was indes nicht der Fall war. So besehen, stellen die vier Verhöre des Beschwerdeführers im Jahre 2012 durch das CID lediglich behördliche Massnahmen im Dienste der allgemeinen Bekämpfung des Terrorismus in Sri Lanka dar, denen allein schon aufgrund ihrer mangelnden Intensität kein Verfolgungscharakter zukommt. Gegen die Annahme einer ernsthaften Verfolgungsgefahr spricht aber auch der Umstand, dass der Beschwerdeführer laut seinen Angaben in der Botschaftsbefragung vom 18. Juni 2013 bis zuletzt als Maurer gemeinsam mit mehreren Angestellten in seiner Wohngemeinde C._______ gearbeitet hat (vgl. act. A32/12 S. 3 f.). Dieser Einschätzung entspricht im Übrigen auch die Annahme, dass die sri-lankischen Behörden nach der militärischen Zerschlagung der LTTE im Mai 2009 primär ein Interesse daran haben dürften, ehemalige Führungspersonen und Kämpfer zu überführen, um mit deren Hilfe möglichst umfassende Kenntnisse über die Organisation und die Kommandostrukturen der LTTE zu erlangen und dergestalt geeignete Massnahmen treffen zu können, um ein allmähliches Wiedererstarken dieser Organisation zu verhindern.</w:t>
      </w:r>
    </w:p>
    <w:p>
      <w:r>
        <w:rPr>
          <w:b/>
        </w:rPr>
        <w:t>E. 5.2</w:t>
      </w:r>
    </w:p>
    <w:p>
      <w:r>
        <w:t>Zusammenfassend ist festzuhalten, dass es dem Beschwerdeführer nicht gelungen ist, eine Verfolgung im Sinne von Art. 3 AsylG glaubhaft zu machen. Das BFM hat dem Beschwerdeführer daher zu Recht die Einreise in die Schweiz verweigert und das Asylgesuch abgelehnt.</w:t>
      </w:r>
    </w:p>
    <w:p>
      <w:r>
        <w:rPr>
          <w:b/>
        </w:rPr>
        <w:t>E. 6</w:t>
      </w:r>
    </w:p>
    <w:p>
      <w:r>
        <w:t>Aus diesen Erwägungen ergibt sich, dass die angefochtene Verfügung Bundesrecht nicht verletzt und den rechtserheblichen Sachverhalt richtig und vollständig feststellt (Art. 106 Abs. 1 AsylG). Die Beschwerde ist demnach abzuweisen.</w:t>
      </w:r>
    </w:p>
    <w:p>
      <w:r>
        <w:rPr>
          <w:b/>
        </w:rPr>
        <w:t>E. 7</w:t>
      </w:r>
    </w:p>
    <w:p>
      <w:r>
        <w:t>Bei diesem Ausgang des Verfahrens wären dessen Kosten grundsätzlich dem Beschwerdeführer aufzuerlegen (Art. 63 Abs. 1 VwVG). Aus verwal­tungsökonomischen Gründen sowie in Anwendung von Art. 63 Abs. 1 in fine VwVG und Art. 6 Abs. 1 Bst. b des Reglements vom 21. Februar 2008 über die Kosten und Entschädigungen vor dem Bundesverwaltungsgericht (VGKE, SR 173.320.2) ist indessen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