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D-1670/2011 vom 10. August 2012</w:t>
      </w:r>
    </w:p>
    <w:p>
      <w:r>
        <w:t>Bundesverwaltungsgericht, 2012-08-10, DE</w:t>
      </w:r>
    </w:p>
    <w:p>
      <w:r>
        <w:rPr>
          <w:b/>
        </w:rPr>
        <w:t xml:space="preserve">Quelle: </w:t>
      </w:r>
      <w:r>
        <w:t>https://mcp.opencaselaw.ch/entscheid/bvger_D-1670_2011</w:t>
      </w:r>
    </w:p>
    <w:p>
      <w:r>
        <w:t>FR: TAF D-1670/2011 du 10 août 2012</w:t>
      </w:r>
    </w:p>
    <w:p>
      <w:r>
        <w:t>IT: TAF D-1670/2011 del 10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von der Beschwerdeführerin gerügten Gehörsverletzungen können den vor­liegenden Akten nicht entnommen werden. Das BFM hat die mehr­stündige Anhörung der Beschwerdeführerin vom 16. Juni 2012 aus zeit­lichen Gründen abgebrochen und am 25. Juni 2012 fortgesetzt. Auch an diesem Datum hatte sie ausführlich Gelegenheit, ihre Asylgründe zu Pro­tokoll zu geben. Am Schluss erklärte sie, alles Wichtige gesagt zu ha­ben (A 11/16 Antwort 125). Im Übrigen hat das BFM sowohl im Asyl- wie auch im Vollzugspunkt der Herkunft der Beschwerdeführerin und ihrem gel­tend gemachten Aufenthalt in I._______ in insgesamt zutreffenden und nachvollziehbaren Erwägungen Rechnung getragen und die Glaubhaftig­keit einer asylrelevant erfolgten oder drohenden Verfol­gung beziehungs­weise eine konkrete Gefährdung bei der Rückkehr in ausführlichen Erwä­gungen verneint. Dass es dabei spezifische Ver­folgungsmuster vor Ort oder die persönliche Situation der Beschwerdeführerin nicht adäquat berück­sichtigt hätte, geht aus der Verfügung entgegen den Beschwerdevor­bringen nicht hervor. Es mag zwar zutreffen, dass psychi­sche Beschwerden ihr Aussageverhalten in einem gewissen Ausmass be­einflussten. Da sie aber durchaus in der Lage war, während mehrstündi­gen Anhörungen spontane Schilderungen zu machen und gewisse Nachfra­gen zu beantworten, drängten sich auch diesbezüglich keine weite­ren Abklärungen auf. Im Weiteren kann die Beschwerdeführerin aus dem Umstand, wonach in der Schweiz abgewiesene Asylsuchende in an­dern Asylländern aufgenommen worden seien, offensichtlich nichts zu ihren Gunsten ableiten. Nach dem Ge­sagten liegt weder eine unzureichende Fest­stellung oder falsche Würdi­gung des entscheidrelevanten Sachver­halts noch eine Verletzung der Be­gründungspflicht seitens der Vorinstanz vor.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Bundesverwaltungsgericht kommt in Abwägung sämtlicher Aussagen zum Schluss, dass das BFM im Ergebnis zu Recht von der fehlen­den Flücht­lingseigenschaft beziehungsweise fehlender Verfolgungsfurcht so­wohl im Zeitpunkt der Ausreise wie auch dem aktuellen ausging.</w:t>
      </w:r>
    </w:p>
    <w:p>
      <w:r>
        <w:rPr>
          <w:b/>
        </w:rPr>
        <w:t>E. 5.1</w:t>
      </w:r>
    </w:p>
    <w:p>
      <w:r>
        <w:t>Vorab drängt sich zwar eine gewisse Differenzierung der Vorbringen der Beschwerdeführerin auf. So hat sie offensichtlich Mühe, über ihre Kin­der zu sprechen, und macht geltend, sie seien sexuell missbraucht wor­den. Drei ihrer Töchter seien nach wie vor unbekannten Aufenthalts. Es ist nicht auszuschliessen, dass Kinder der Beschwerdeführerin tatsäch­lich Opfer von Gewalt wurden beziehungs­weise teilweise unbekannten Aufenthalts sind und sie als Mutter darunter lei­det. Hingegen ist gemäss nachfolgenden Erwägungen nicht davon auszu­gehen, dass diese Gewalt im Zusammenhang mit dem angeblichen Mordauftrag stand beziehungsweise dass die (drei) Kinder tatsächlich un­ter den dargelegten Umständen in C._______ zu Schaden kamen und seit­her unbekannten Aufenthalts sind. Dies deshalb, weil das Engagement der Beschwerdeführerin für die BDK, der ihr erteilte Mordauftrag und die Flucht in den I._______ wegen der angeblichen Verfolgung vom BFM zu Recht für unglaubhaft erachtet wurden.</w:t>
      </w:r>
    </w:p>
    <w:p>
      <w:r>
        <w:rPr>
          <w:b/>
        </w:rPr>
        <w:t>E. 5.2</w:t>
      </w:r>
    </w:p>
    <w:p>
      <w:r>
        <w:t>Es mag zwar zutreffen, dass die Beschwerdeführerin im Heimatland ein gewisses Interesse für die BDK bekundete und allenfalls sogar Kon­takte zu solchen Mitgliedern hatte. Andererseits war sie nicht in der Lage, anlässlich der Anhörungen den Eindruck eines bei ihr tatsächlich bestehen­den politischen Profils zu entwickeln. Ihr Wissen zu Belangen der BDK ist als bescheiden zu werten. Ihre Schilderung der Umstände, wie sie in den Besitz des Ausweises gelangt sei, wirken sehr stereotyp (vgl. BFM-Akte A 11/16 Antworten 8 ff.). Vor diesem Hintergrund erscheint eine eigentliche Mitgliedschaft bei der BDK nicht als glaubhaft. Zudem ver­weist das BFM auf seine "gesicherten Erkenntnisse", gemäss welchen im angeblich relevanten Zeitpunkt von der BDK gar keine solchen Aus­weise ausgestellt worden sein sollen. Im Weiteren schilderte sie die BDK-Sit­zung, bei der sie sich als gedungene Mörderin outete, in keiner Weise substanziiert und gab spekulativ anmutende Gründe für ihre Erkürung als Täterin zu Protokoll (A 11/16 Antworten 26 ff. und 56 ff.). Die Aufbewah­rung des bereits erhaltenen Geldes schilderte sie wiederum realitätsfremd (A 11/16 Antworten 48 ff.). Auch anlässlich der Anhörung vom 16. Juni 2011 legte sie die Auftragserteilung, UNO-Belange und die (geplanten) Ab­läufe sehr stereotyp dar und vermittelte den Eindruck eines blossen Sach­verhaltskonstrukts (A 9/16 Antworten 84 ff.). Da stichhaltige Beschwer­deargumente für eine andere Sichtweise fehlen, ist weder das En­gagement der Beschwerdeführerin für die BDK in der geltend gemach­ten Form noch der angeblich erfolgte Auftrag glaubhaft. Es ist demnach nicht einzusehen, weshalb ausgerechnet sie von ihrem damaligen Gelieb­ten dazu beauftragt worden sein sollte, den BDK-Chef im Rahmen eines Gift­mordes umzubringen, da hierfür zweifellos ein - bei der Beschwerdefüh­rerin fehlender - Bezug zum inneren Machtzirkel der Organi­sation als Ba­sis hätte vorhanden sein müssen.</w:t>
      </w:r>
    </w:p>
    <w:p>
      <w:r>
        <w:rPr>
          <w:b/>
        </w:rPr>
        <w:t>E. 5.3</w:t>
      </w:r>
    </w:p>
    <w:p>
      <w:r>
        <w:t>Entsprechend ist nicht glaubhaft, dass die Beschwerdeführerin wegen der ihr angeblich drohenden Verfolgung B._______ verlassen musste. Über­dies wäre eine Flucht ausgerechnet nach C._______ schon insofern kaum nachvollziehbar, als es sich dabei um eine Krisenregion handelt, wo sich immer wieder Gewaltakte ereignen (vgl. A 11/16 Antworten 92 ff.). Sie war zwar in der Lage, realitätsbezogene und allgemein bekannte Angaben zur Situation vor Ort zu machen. Nicht auszuschliessen ist ferner, dass sie - möglicherweise als Geschäftsfrau - tatsächlich einmal in der Region war (vgl. A 11/16 Antwort 87). Die ihr in einem Haus in C._______ angeblich wi­derfahrene Verfolgung erscheint aber nicht nur wegen der obenstehen­den Erwägungen, sondern auch wegen weiterer Ungereimtheiten als un­glaubhaft. So war sie beispielsweise nicht in der Lage, die Anzahl der miss­handelnden Soldaten anzugeben und individuelle Merkmale der Tä­ter zu beschreiben (A 11/16 Antworten 99 f. und 126 ff.). Ihre Wiederho­lung der Aussage, wonach sie während der Vergewaltigungen (wieder) ohn­mächtig geworden und erst im Spital wieder zu sich gekommen sei, ver­mittelt nicht den Eindruck einer diesbezüglichen Traumatisierung, son­dern einer Schilderung ohne Bezug zu dort tatsächlich Vorgefallenem (A 9/16 Antworten 87 f.; A 11/16 Antworten 97 f. und 106). Eine Traumatisierung wurde im Übrigen auch auf Beschwerdeebene nicht mit einem Arztzeugnis unter­mauert. Einzuräumen ist zwar wie bereits erwähnt, dass die Schilderungen zu den Übergriffen gegen die Kinder gewisse Realkennzeichen aufweisen, allein diese vermögen jedoch letztlich die gewichtigen Ungereimtheiten nicht in einem anderen Licht erscheinen zu lassen, zumal substanziierte Be­schwerdevorbringen für eine andere Sichtweise wiederum fehlen.</w:t>
      </w:r>
    </w:p>
    <w:p>
      <w:r>
        <w:rPr>
          <w:b/>
        </w:rPr>
        <w:t>E. 5.4</w:t>
      </w:r>
    </w:p>
    <w:p>
      <w:r>
        <w:t>Zudem fällt auf, dass sie den angeblichen Aufenthalt im ugandischen Flüchtlingszentrum sehr fragmentarisch schilderte (A 11/16 Antwort 117). Abgesehen davon ist im Sinne vorstehender Erwägungen davon aus­zu­gehen, dass für sie gar kein Anlass bestand, sich dorthin zu bege­ben. Im eingereichten Bestätigungsschreiben ist sodann die Rede von fünf gekidnappten Kindern und einem Freund, deren Aufenthalt immer noch unbekannt sei. Diese Schilderungen decken sich nicht mit den Anga­ben der Beschwerdeführerin, wonach die in C._______ mit ihr woh­nende Person erschossen worden sei und nur drei ihrer Kinder unbekannten Aufenthalts sein sollen. Im Sinne der Erwägung des BFM muss das Schrei­ben (und der Flüchtlingsausweis) mithin als Gefälligkeitsschreiben qualifiziert werden. Schliesslich wirken die Schilderungen der Ausreiseum­stände verbunden mit der UNO-Unterstützung wiederum kon­struiert beziehungsweise ausgesprochen stereotyp (vgl. u.a. A 2/10 S. 6; A 9/16 Antworten 68 ff.), was die Glaubhaftigkeit der angeblichen Flucht­gründe - so auch mangels stringenter Beschwerdeargumente - zusätz­lich beeinträchtigt.</w:t>
      </w:r>
    </w:p>
    <w:p>
      <w:r>
        <w:rPr>
          <w:b/>
        </w:rPr>
        <w:t>E. 6</w:t>
      </w:r>
    </w:p>
    <w:p>
      <w:r>
        <w:t>Unter Berücksichtigung der gesamten Umstände folgt, dass die Be­schwer­deführerin keine Gründe nach Art. 3 AsylG nachweisen oder glaub­haft machen konnte. Die Vorinstanz hat die Flüchtlingseigen­schaft dem­nach zu Recht verneint und das Asylgesuch abgelehnt. An dieser Ein­schät­zung vermögen weder die weiteren, überwiegend die allgemeine Lage vor Ort thematisierenden Beschwerdevorbringen nichts zu ändern, weshalb es sich erübrigt, darauf näher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Ein solcher ergibt sich aus den Akten auch nicht aufgrund des im Ge­such um Wechsel des Aufenthaltskantons dargelegten Sachverhalts.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Hinsichtlich der Beurteilung der allgemeinen Lage in Kongo (Kinshasa) ist auf die ausführliche Analyse in EMARK 2004 Nr. 33 sowie das Urteil BVGE 2010/57, welches eine detaillierte Analyse zur politischen Situa­tion (E. 4.1.1) und zur allgemeinen Menschenrechtslage (E. 4.1.2) ent­hält, zu verweisen. Diese Lageanalysen treffen grundsätzlich auch heute nach den Präsidentschafts- und Parlamentswahlen im November des vergangenen Jahres noch zu, obwohl es sowohl im Vorfeld als auch während sowie im Nachgang der Wahlen zu gewaltsamen Zusammenstös­sen zwischen den Sicherheitskräften und den Oppositionel­len gekommen ist. So hätten laut der Menschenrechtsorganisa­tion Human Rights Watch (HWR) Sicherheits­kräfte seit der Bekanntgabe der umstritte­nen Wiederwahl von Staatschef Joseph Kabila am 9. Dezember 2011 min­destens 24 Personen getötet und Dutzende von Menschen seien wahllos festgenommen worden. Die Si­cherheitskräfte hätten gemäss HWR immer wieder das Feuer auf Men­schenversammlungen eröffnet, womit offenbar Proteste gegen den Aus­gang der Wahl vom 28. November 2011 hätten verhindert werden sollen. Kabila hatte bei der Wahl laut offiziellem Ergebnis knapp 49 Prozent der Stimmen erhalten. Sein wichtigster Herausforderer Etienne Tshisekedi er­hielt 32 Prozent; er anerkannte das Wahlergebnis aber nicht. Bereits wäh­rend des Wahlkampfes hatte es gemäss Angaben von HRW gewaltsame Ausschreitungen gegeben, bei denen mindestens 18 Personen getötet wor­den seien. Diese jüngsten Ausschreitungen und die Eskalation der Ge­walt müssen indessen im Kontext der Wahlen im letzten Jahr verstan­den werden, d.h. sie sind klarerweise diesen zuzuschreiben, weshalb im heutigen Zeitpunkt in Kongo (Kinshasa) nach wie vor nicht generell von Krieg, Bürgerkrieg oder von einer Situation allgemeiner Gewalt gespro­chen werden kann (vgl. zum Ganzen auch BVGE E-12/2008 vom 15. Mai 2012 und die dort angegebenen Quellen).</w:t>
      </w:r>
    </w:p>
    <w:p>
      <w:r>
        <w:rPr>
          <w:b/>
        </w:rPr>
        <w:t>E. 8.4.2</w:t>
      </w:r>
    </w:p>
    <w:p>
      <w:r>
        <w:t>Die Beschwerdeführerin stammt aus B._______. Der Ort verfügt über einen Flughafen. Bezüglich der Angaben der Be­schwerdeführerin zu ihrer Familie und dem sozialen Umfeld bestehen Unklarheiten. Bereits die Aus­sagen zum Verbleib der Kinder sind widersprüchlich ausgefallen (A 2/10 S. 2 f.; A 9/16 Antworten 42 ff.). Auch ihre Aussagen zu weiteren Angehörigen und Verwandten vor Ort sind in keiner Weise nachvollziehbar. So legte sie einerseits dar, zu Angehörigen ein gutes Verhältnis gehabt zu haben. Anderseits behauptete sie, keinen Kontakt mehr zu ihnen zu ha­ben. Diese Angaben vermögen in keiner Weise zu überzeugen. Nament­lich auch das Vorbringen, auch zum Bruder in B._______ keinen Kontakt zu ha­ben, weil sie die Telefonnummer vergessen habe, ist nicht nachvollziehbar (A 9/16 Antworten 48 ff.; A 11/16 Antwort 123). So entsteht der Verdacht, sie lasse die Asylbehörden über ihre tatsächli­che soziale Situation vor Ort letztlich im Dunkeln. Bei dieser Sachlage können die genauen Verhältnisse nicht ge­klärt werden und sind vom Bundesverwaltungsge­richt praxis­gemäss auch nicht weiter abzuklären, da die Untersu­chungs­pflicht nach Treu und Glau­ben ihre Grenzen an der Mitwirkungspflicht der be­schwerdeführenden Person findet (Art. 8 AsylG), die auch die Substan­ziie­rungslast trägt (Art. 7 AsylG). Vielmehr ist im Sinne der ausführlichen vo­rinstanzlichen Erwägungen und entgegen den Beschwerdevorbringen grundsätzlich davon auszugehen, dass die Beschwerdeführerin vor Ort über ein tragfähiges Beziehungsnetz verfügt. Ausserdem vermochte sie vor der Ausreise ein genügen­des Einkommen zu erzielen, sie ist erwerbsfähig und leidet gemäss den Akten nicht an Krankheiten, die im Heimatland nicht behandelt werden könnten.</w:t>
      </w:r>
    </w:p>
    <w:p>
      <w:r>
        <w:rPr>
          <w:b/>
        </w:rPr>
        <w:t>E. 8.4.3</w:t>
      </w:r>
    </w:p>
    <w:p>
      <w:r>
        <w:t>Unbesehen der nicht genau feststehenden re­spektive von der Be­schwerdeinstanz zu eruierenden sozialen Verhält­nisse vor Ort erweist sich der Vollzug der Wegweisung mit­hin insgesamt auch als zumutbar (vgl. dazu EMARK 2004 Nr. 33).</w:t>
      </w:r>
    </w:p>
    <w:p>
      <w:r>
        <w:rPr>
          <w:b/>
        </w:rPr>
        <w:t>E. 8.5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VwVG). In Anbetracht der am 23. März 2011 erfolgten Gutheissung des Gesuchs im Sinne von Art. 65 Abs. 1 VwVG erfolgt indes keine Kostenauflage, zumal sich ihre finanziel­len Verhältnisse offenbar nicht verändert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