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D-1668/2024 vom 16. Februar 2024</w:t>
      </w:r>
    </w:p>
    <w:p>
      <w:r>
        <w:t>Bundesverwaltungsgericht, 2024-02-16, DE</w:t>
      </w:r>
    </w:p>
    <w:p>
      <w:r>
        <w:rPr>
          <w:b/>
        </w:rPr>
        <w:t xml:space="preserve">Quelle: </w:t>
      </w:r>
      <w:r>
        <w:t>https://mcp.opencaselaw.ch/entscheid/bvger_D-1668_2024_d20240216</w:t>
      </w:r>
    </w:p>
    <w:p>
      <w:r>
        <w:t>FR: TAF D-1668/2024 du 16 février 2024</w:t>
      </w:r>
    </w:p>
    <w:p>
      <w:r>
        <w:t>IT: TAF D-1668/2024 del 16 febbraio 2024</w:t>
      </w:r>
    </w:p>
    <w:p>
      <w:pPr>
        <w:pStyle w:val="Heading2"/>
      </w:pPr>
      <w:r>
        <w:t>Regeste</w:t>
      </w:r>
    </w:p>
    <w:p>
      <w:r>
        <w:t>Asyl und Wegweisung | Asyl und Wegweisung; Verfügung des SEM vom 16. Februar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2 AsylG; Art. 105 AsylG i.V.m. Art. 37 VGG und Art. 52 Abs. 1 VwVG). Der</w:t>
      </w:r>
    </w:p>
    <w:p>
      <w:r>
        <w:t>D-1668/2024 Seite 6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Nachdem der Kostenvorschuss in- nert Frist bezahlt wurde, ist – unter Vorbehalt des bereits in der Zwischen- verfügung vom 22. März 2024 beurteilten Antrags, es sei der Vollzug der Wegweisung bis zur Urteilsverkündung zu sistieren (vgl. Sachverhalt Bst. G) – auf die Beschwerde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der Beschwer- deentscheid nur summarisch zu begründen ist (Art. 111a Abs. 2 AsylG). Gestützt auf Art. 111a Abs. 1 AsylG wurde auf die Durchführung eines Schriftenwechsels verzichtet.</w:t>
      </w:r>
    </w:p>
    <w:p>
      <w:r>
        <w:rPr>
          <w:b/>
        </w:rPr>
        <w:t>E. 4.1</w:t>
      </w:r>
    </w:p>
    <w:p>
      <w:r>
        <w:t>In der Beschwerde wird zunächst eine Verletzung des Anspruchs auf rechtliches Gehör moniert und geltend gemacht, das SEM habe keine Fra- gen zur politischen Vernetzung einzelner Familienmitglieder gestellt. Im Gegenteil habe es bei der Zweitanhörung Informationen zum (…) ignoriert und die Fragethematik umgehend gewechselt. Dadurch seien wichtige Vor- bringen nicht ernsthaft geprüft und demzufolge nicht angemessen in der Entscheidfindung berücksichtigt worden (vgl. Beschwerde Ziff. 14 ff.). Diese Rüge erweist sich als unbegründet. Zwar machte der Beschwerde- führer anlässlich der Zweitanhörung geltend: «Aber in meiner Familie gibt es viele wichtige Personen in der Partei, wichtige politische Personen. Zum Beispiel in K._______ ist der (…). Sie können seinen Namen im Internet recherchieren» (vgl. SEM-act. […]-37/16 F39). Gleichwohl erschliesst sich nicht, inwiefern angezeigt gewesen sein soll, dass das SEM ihm diesbe- züglich weitere Fragen hätte stellen sollen, zumal der rechtlich vertretene</w:t>
      </w:r>
    </w:p>
    <w:p>
      <w:r>
        <w:t>D-1668/2024 Seite 7 Beschwerdeführer im vorinstanzlichen Verfahren nicht geltend machte, er habe wegen seiner Verwandten in seiner Heimat Probleme gehabt. Sol- ches wird auch in der Beschwerde nicht behauptet.</w:t>
      </w:r>
    </w:p>
    <w:p>
      <w:r>
        <w:rPr>
          <w:b/>
        </w:rPr>
        <w:t>E. 4.2</w:t>
      </w:r>
    </w:p>
    <w:p>
      <w:r>
        <w:t>Sodann wird beanstandet, die Vorinstanz habe den Sachverhalt unrich- tig festgestellt, indem es die Aussagen des Beschwerdeführers hinsichtlich der (…)-Partei falsch interpretiert habe. Zudem könne ausgeschlossen werden, dass er im Zusammenhang mit den Fahrzeugen der Revolutions- garde von getönten Scheiben gesprochen habe (vgl. Beschwerde Ziff. 17 ff.). Auch diese Kritik geht fehl. Der blosse Umstand, dass der Beschwerdefüh- rer die Schlussfolgerungen der Vorinstanz nicht teilt, stellt keine formelle Rechtsverletzung dar, sondern betrifft die Frage der materiellen Würdigung der Sache (vgl. nachfolgend E. 7).</w:t>
      </w:r>
    </w:p>
    <w:p>
      <w:r>
        <w:rPr>
          <w:b/>
        </w:rPr>
        <w:t>E. 4.3</w:t>
      </w:r>
    </w:p>
    <w:p>
      <w:r>
        <w:t>Nach dem Gesagten besteht keine Veranlassung, die Verfügung aus formellen Gründen aufzuheben und die Sache an die Vorinstanz zurückzu- weisen. Der entsprechende Hauptantrag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 zur Begründung seiner Verfügung aus, die im Zusam- menhang mit dem als Beweis für sein politisches Engagement einge-</w:t>
      </w:r>
    </w:p>
    <w:p>
      <w:r>
        <w:t>D-1668/2024 Seite 8 reichten Schreiben der (…) vom 22. Mai 2023 gemachten Aussagen des Beschwerdeführers würden erste Zweifel an der Glaubhaftigkeit seiner Vorbringen wecken. So wäre etwa zu erwarten gewesen, dass er den Na- men analog zum Briefkopf entweder auf Arabisch, Farsi oder Englisch ken- nen würde. Auch stamme das Schreiben nicht, wie vom Beschwerdeführer geltend gemacht, von einer Partei und sei mutmasslich von seinem (…) unterzeichnet worden. Zudem stimme der Inhalt des Schreibens teilweise nicht mit seinen Vorbringen überein. Ferner habe er sich bezüglich seiner Parteizugehörigkeit mehrmals widersprüchlich geäussert. Bei der Erstan- hörung habe er geltend gemacht, es handle sich beim eingereichten Be- weismittel um ein Bestätigungsschreiben der (…)-Partei, was nachweislich falsch sei. Weiter habe er erklärt, dass es zwei Parteien gebe, (…) und (…). Er sei von L._______, dem Gründer der (…)-Partei, in arabischer Sprache unterrichtet worden, jedoch kein Mitglied seiner Partei gewesen. Anlässlich der Zweitanhörung habe er dagegen geltend gemacht, Mitglied der Partei (…) zu sein, und dazu auf das Schreiben der (…) verwiesen. Weiter habe er erklärt, dass er sich im Jahr 1396 mit seinen beiden Freunden auf den Parteinamen (…) geeinigt habe, sie jedoch nicht die Gründer seien. Auch seine Vorbringen in Bezug auf sein aktivistisches Engagement seien wi- dersprüchlich ausgefallen. So habe er in der Zweitanhörung Schüsse im Zusammenhang mit dem Öffnen der Wasserleitungen nicht mehr erwähnt. Sodann seien die Schilderungen hinsichtlich des geltend gemachten An- griffs am (…) 1401 hinsichtlich der Flucht vom Tatort und des Aufenthalts im Haus, welcher in der ersten Anhörung unerwähnt geblieben sei, wider- sprüchlich ausgefallen. Hätte er das Gesagte tatsächlich erlebt, wären von ihm einheitlichere Aussagen zu erwarten gewesen. Auch hinsichtlich der angeblich verunmöglichten Heirat mit einer älteren Frau seien massive Zweifel an seinen Vorbringen angebracht. Seine Angaben seien insgesamt vage und wenig substantiiert und teilweise widersprüchlich ausgefallen. Konkreten Fragen sei er immer wieder ausgewichen. Zudem würden ge- wisse Vorbringen auf Hypothesen basieren, wie sich an der geltend ge- machten Reflexverfolgung seiner Familie illustrieren lasse. Seine Vorbrin- gen vermöchten die Anforderungen an die Glaubhaftigkeit nicht zu erfüllen, weshalb deren Asylrelevanz nicht geprüft werden müsse. Ethnische Min- derheiten, wozu auch die Araber gehören würden, würden im Iran alleine aufgrund ihrer Ethnie nicht systematisch verfolgt.</w:t>
      </w:r>
    </w:p>
    <w:p>
      <w:r>
        <w:rPr>
          <w:b/>
        </w:rPr>
        <w:t>E. 6.2</w:t>
      </w:r>
    </w:p>
    <w:p>
      <w:r>
        <w:t>In der Beschwerde wird dem entgegengehalten, der Beschwerdeführer stamme aus einer Familie, welche für ihre politische Aktivität bekannt sei. Zwei (…) seien in der Schweiz politisch anerkannte Flüchtlinge. Die (…) hätten in K._______ politisches Asyl erhalten. Sie seien Mitglieder der (…)</w:t>
      </w:r>
    </w:p>
    <w:p>
      <w:r>
        <w:t>D-1668/2024 Seite 9 und exilpolitisch aktiv. Zusammen mit dem zuständigen Koordinator des (…) würden sie sein Kontaktnetzwerk in politischen Fragen bilden. Sein (…), welche bei Fragen hinsichtlich der Ahwaz-Araber als Anlaufstelle für verschiedene Institutionen wie beispielsweise das (…) fungiere. Die (…) verfolge seine politischen Aktivitäten seit fast fünf Jahren und könne somit die Geschehnisse rund um den (…) 2022 bestätigen. Es sei davon auszu- gehen, dass er aufgrund seiner familiären Umstände einem höheren Risiko ausgesetzt gewesen sei, ins Visier der iranischen Revolutionsgarde zu ge- raten. Im Weiteren habe der Beschwerdeführer zu keinem Zeitpunkt zu verstehen gegeben, dass er aktives Mitglied der (…) sei. Vielmehr habe er klar zum Ausdruck gebracht, dass er Mitglied der (…)-Partei sei. Gegründet habe er diese Partei jedoch nicht. Vielmehr handle es sich um eine Fal- schinterpretation des Wortes «sich einigen» durch das SEM. Es könne auch ausgeschlossen werden, dass er in den beiden Anhörungen von ge- tönten Fensterscheiben berichtet habe. Zum fluchtauslösenden Ereignis und zur spezifischen Bedrohung seiner Person habe er sich substantiiert geäussert. Mit den eingereichten Beweismitteln könne belegt werden, dass er und seine Freunde am (…) 2022 von der Revolutionsgarde angegriffen worden seien und dabei einer seiner Freunde getötet worden sei. Er habe während der Hälfte der Anhörungszeit über das flüchtlingsrelevante Ereig- nis berichtet, wohingegen das SEM eine halbe Seite verwende, um einen fiktiven Widerspruch – das Nichterwähnen eines Hauses als Rückzugsort anlässlich der ersten Anhörung – in der Erzählung des Beschwerdeführers zu finden. Er habe dieses Haus aus eigenem Antrieb in der zweiten Anhö- rung genannt und auch erklärt, weshalb dieses in der ersten Anhörung un- erwähnt geblieben sei. Diese Unterlassung stehe in keinem Verhältnis zur Schlussfolgerung des SEM, wonach der ganze Vorfall als unwahrschein- lich zu werten sei. Er habe trotz seines sozialen und beruflichen Hinter- grundes ausführlich über den Vorfall vom (…) 2022 berichten können. Seine Schilderungen seien mit den eingereichten Beweismitteln auch be- legt. Aufgrund seiner politischen Aktivitäten in Verbindung mit seinem be- kannten (…) sei sein Risikoprofil stark erhöht, weshalb ihm bei einer Rück- kehr in den Iran Haft oder Folter drohen würden.</w:t>
      </w:r>
    </w:p>
    <w:p>
      <w:r>
        <w:rPr>
          <w:b/>
        </w:rPr>
        <w:t>E. 7.1</w:t>
      </w:r>
    </w:p>
    <w:p>
      <w:r>
        <w:t>Zur Vermeidung von Wiederholungen kann vorab auf die sehr ausführ- liche und weitestgehend überzeugende Argumentation in der angefochte- nen Verfügung verwiesen werden. In Ergänzung und Präzisierung ist fol- gendes festzuhalten:</w:t>
      </w:r>
    </w:p>
    <w:p>
      <w:r>
        <w:t>D-1668/2024 Seite 10</w:t>
      </w:r>
    </w:p>
    <w:p>
      <w:r>
        <w:rPr>
          <w:b/>
        </w:rPr>
        <w:t>E. 7.2</w:t>
      </w:r>
    </w:p>
    <w:p>
      <w:r>
        <w:t>Was die Parteizugehörigkeit des Beschwerdeführers anbelangt, er- weist sich der Einwand, er habe zu keinem Zeitpunkt zu verstehen gege- ben, aktives Mitglied der (…) zu sein, als aktenwidrig. In der ersten Anhö- rung führt er nämlich auf die Frage, wie er die Reise finanziert habe, aus: «Wir sind eine Partei und das ist selbstverständlich, dass die Partei dafür bereit ist in solchen Fällen uns zu helfen und beschützen. […]» (vgl. SEM- act. […]-19/20 F83). Auf die weitere Frage, wie die Partei, von der er un- terstützt worden sei, heisse, gab er zu Protokoll: «(…)… ich kann selber kein Englisch» (vgl. SEM-act. […]-19/20 F86). Im Zusammenhang mit der (…)-Partei ist dem Beschwerdeführer insofern beizupflichten, als das SEM das Wort «einigen» zu Unrecht als Synonym für «gründen» verstanden ha- ben könnte (vgl. dazu SEM-act. […]-37/16 F36). Gleichwohl erscheint der Verweis in der Beschwerde auf die Frage 21 (recte: 22) der ersten Anhö- rung zum Thema der Mitgliedschaft bei der (…)-Partei nicht geeignet, die Widersprüche und Unklarheiten in Bezug auf diese Parteizugehörigkeit aufzulösen. Der Beschwerdeführer merkte nämlich anlässlich der Rück- übersetzung an: «(…) war eine Partei. […] Aber ich war nicht Mitglied bei seiner Partei.» (vgl. SEM-act. […]-19/20 S. 19 zu F22). Im Weiteren erweist sich der Einwand, es könne ausgeschlossen werden, dass der Beschwer- deführer von getönten Fensterscheiben berichtet habe, mit Verweis auf die Antwort zur Frage 111 der ersten Anhörung unbehilflich: «[…] Fahrzeuge verwendet, welche ganz dunkle schwarze Scheiben haben […]» (vgl. SEM- act. […]-19/20 F111). Schliesslich ist entgegen der in der Beschwerde ver- tretenen Ansicht der Umstand, dass der Beschwerdeführer in der ersten Anhörung den Aufenthalt im Haus nicht von sich aus erwähnte, als gewich- tige Ungereimtheit zu werten.</w:t>
      </w:r>
    </w:p>
    <w:p>
      <w:r>
        <w:rPr>
          <w:b/>
        </w:rPr>
        <w:t>E. 7.3</w:t>
      </w:r>
    </w:p>
    <w:p>
      <w:r>
        <w:t>Nach dem Gesagten erweist sich die Angabe im Schreiben der (…) vom 12. März 2024, wonach diese Organisation die politischen Aktivitäten des Beschwerdeführers seit einigen Jahren verfolge und die Geschehnisse rund um den (…) 2022 bestätigen könne, nicht geeignet, die vom SEM als unglaubhaft qualifizierten Aussagen des Beschwerdeführers in einem an- deren Lichte erscheinen zu lassen. Allein der Umstand, dass zwei (…) sei- nes Vaters in der Schweiz als Flüchtlinge anerkannt wurden (vgl. Be- schwerde S. 8 und SEM-act. […]-19/20 F66 f.), gemäss Schreiben der (…) vom 5. März 2024 der (…) und einer (…) in K._______ Asyl gewährt wor- den sei (vgl. SEM-act. […]-19/20 F68) und der (…) die (…) leitet (vgl. SEM- act. […]-37/16 F39), führt nicht zur Annahme einer flüchtlingsrechtlich rele- vanten Verfolgung des Beschwerdeführers im Iran. Weder aus den vor- instanzlichen Akten noch aus der Beschwerde geht hervor, dass der</w:t>
      </w:r>
    </w:p>
    <w:p>
      <w:r>
        <w:t>D-1668/2024 Seite 11 Beschwerdeführer je wegen seiner Verwandten in seiner Heimat Probleme gehabt hätte.</w:t>
      </w:r>
    </w:p>
    <w:p>
      <w:r>
        <w:rPr>
          <w:b/>
        </w:rPr>
        <w:t>E. 7.4</w:t>
      </w:r>
    </w:p>
    <w:p>
      <w:r>
        <w:t>Zusammenfassend ist festzuhalten, dass die rechtliche Würdigung der Vorbringen und Beweismittel durch das SEM nicht zu beanstanden ist. Die Vorinstanz hat zu Recht die Flüchtlingseigenschaft des Beschwerdeführers verneint und dessen Asylgesuch abgelehnt.</w:t>
      </w:r>
    </w:p>
    <w:p>
      <w:r>
        <w:rPr>
          <w:b/>
        </w:rPr>
        <w:t>E. 8.1</w:t>
      </w:r>
    </w:p>
    <w:p>
      <w:r>
        <w:t>Lehnt das SEM das Asylgesuch ab oder tritt es darauf nicht ein, so verfügt es in der Regel die Wegweisung aus der Schweiz und ordnet den Vollzug an (Art. 44 Abs. 1 AsylG).</w:t>
      </w:r>
    </w:p>
    <w:p>
      <w:r>
        <w:rPr>
          <w:b/>
        </w:rPr>
        <w:t>E. 8.2</w:t>
      </w:r>
    </w:p>
    <w:p>
      <w:r>
        <w:t>Der Beschwerdeführer verfügt weder über eine ausländerrechtliche Aufenthaltsbewilligung noch über einen Anspruch auf Erteilung einer sol- chen. Die Wegweisung wurde demnach zu Recht angeordnet (Art. 44 Abs. 1 AsylG;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Nach Art. 83 Abs. 3 AIG ist der Vollzug nicht zulässig, wenn völker- rechtliche Verpflichtungen der Schweiz einer Weiterreise der Ausländerin oder des Ausländers in den Heimat-, Herkunfts- oder einen Drittstaat ent- gegenstehen.</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w:t>
      </w:r>
    </w:p>
    <w:p>
      <w:r>
        <w:t>D-1668/2024 Seite 12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Die Vorinstanz wies in der angefochtenen Verfügung zutreffend da- rauf hin, dass das in Art. 5 AsylG verankerte Prinzip des flüchtlingsrechtli- chen Non-Refoulement im vorliegenden Verfahren keine Anwendung fin- den kann, da der Beschwerdeführer die Flüchtlingseigenschaft nicht erfüllt. Eine Rückkehr des Beschwerdeführers in den Iran ist demnach unter dem Aspekt von Art. 5 AsylG rechtmässig.</w:t>
      </w:r>
    </w:p>
    <w:p>
      <w:r>
        <w:rPr>
          <w:b/>
        </w:rPr>
        <w:t>E. 9.2.4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vorstehenden Erwägungen zum Asylpunkt (vgl. E. 7) nicht gelungen. Auch die allgemeine Menschenrechtssituation im Iran lässt den Wegweisungsvollzug zum heutigen Zeitpunkt nicht als unzulässig erscheinen.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Trotz erheblicher Spannungen und teilweise anhaltenden Unruhen im Iran, die bereits seit September 2022 bestehen, herrscht dort zurzeit weder</w:t>
      </w:r>
    </w:p>
    <w:p>
      <w:r>
        <w:t>D-1668/2024 Seite 13 Krieg oder Bürgerkrieg noch eine Situation allgemeiner Gewalt, aufgrund derer eine Rückkehr generell als unzumutbar zu erachten wäre (vgl. Urteile des BVGer E-2068/2020 vom 14. März 2024 E. 7.3.2; D-2807/2020 vom</w:t>
      </w:r>
    </w:p>
    <w:p>
      <w:r>
        <w:rPr>
          <w:b/>
        </w:rPr>
        <w:t>E. 9.3.3</w:t>
      </w:r>
    </w:p>
    <w:p>
      <w:r>
        <w:t>Weiter sind auch in individueller Hinsicht keine Gründe ersichtlich, welche gegen den Vollzug der Wegweisung sprechen könnten. Das SEM hat diesbezüglich festgehalten, der Beschwerdeführer sei jung und verfüge über langjährige Arbeitserfahrung als (…). Seine Freundin arbeite als (…) und sein Vater bei der (…). Er verfüge über eine Unterkunft im Haus seiner Eltern, über ein solides soziales Netzwerk und es sei davon auszugehen, dass seine Familie ihn bei einer Rückkehr anfänglich auch unterstützen werde. Auch sein Gesundheitszustand stehe einem Wegweisungsvollzug nicht entgegen, zumal medizinische und psychotherapeutische Behand- lungen im Iran vorhanden seien (vgl. angefochtene Verfügung S. 8 f.). Auf diese Erwägungen des SEM, denen in der Beschwerde nichts entgegen- gehalten wird, kann vollumfänglich verwiesen werden.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auf diese einzutreten ist. 11. Bei diesem Ausgang des Verfahrens sind die Kosten dem Beschwerde- führer aufzuerlegen (Art. 63 Abs. 1 VwVG) und auf insgesamt Fr. 750.– festzusetzen (Art. 1–3 des Reglements vom 21. Februar 2008 über die Kosten und Entschädigungen vor dem Bundesverwaltungsgericht [VGKE,</w:t>
      </w:r>
    </w:p>
    <w:p>
      <w:r>
        <w:t>D-1668/2024 Seite 14 SR 173.320.2]). Der am 5. April 2024 in gleicher Höhe geleistete Kosten- vorschuss ist zur Bezahlung der Verfahrenskosten zu verwenden. (Dispositiv nächste Seite)</w:t>
      </w:r>
    </w:p>
    <w:p>
      <w:r>
        <w:t>D-1668/2024 Seite 15</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5. April 2024 in gleicher Höhe geleistete Kostenvorschuss ist zur Bezahlung der Verfahrenskosten zu verwenden. (Dispositiv nächste Seite)</w:t>
      </w:r>
    </w:p>
    <w:p>
      <w:r>
        <w:rPr>
          <w:b/>
        </w:rPr>
        <w:t>E. 13</w:t>
      </w:r>
    </w:p>
    <w:p>
      <w:r>
        <w:t>Dezember 2023 E.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