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D-1652/2012 vom 19. Februar 2013</w:t>
      </w:r>
    </w:p>
    <w:p>
      <w:r>
        <w:t>Bundesverwaltungsgericht, 2013-02-19, DE</w:t>
      </w:r>
    </w:p>
    <w:p>
      <w:r>
        <w:rPr>
          <w:b/>
        </w:rPr>
        <w:t xml:space="preserve">Quelle: </w:t>
      </w:r>
      <w:r>
        <w:t>https://mcp.opencaselaw.ch/entscheid/bvger_D-1652_2012</w:t>
      </w:r>
    </w:p>
    <w:p>
      <w:r>
        <w:t>FR: TAF D-1652/2012 du 19 février 2013</w:t>
      </w:r>
    </w:p>
    <w:p>
      <w:r>
        <w:t>IT: TAF D-1652/2012 del 19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ausführlichen und zutreffenden Erwägungen dar­gelegt, weshalb die eritreische Staatsbürgerschaft der Beschwerdeführe­rin und die geltend gemachte prekäre Situation wegen ei­ner drohenden Deportation ins angebliche Heimatland in Würdigung der Aktenlage nicht glaubhaft wirke. Auf diese Erwägungen kann verwiesen wer­den. Die Darlegungen der Beschwerdeführerin, welche kein politi­sches Engagement oder konkrete Behelligungen durch die äthiopischen Be­hörden geltend macht, weisen in der Tat kaum Substanz auf. Ihre stereo­typen Spontanschilderungen verbunden mit der Unfähigkeit, plau­sible und zumindest ansatzweise substanziierte Antworten auf Nachfra­gen zu geben, vermitteln das Bild eines blossen Sachverhaltskonstrukts (vgl. u.a. A 1/13 S. 5 f.; A 7/23 Antworten 31 ff., 165 ff. und 239 ff.). Hinzu kommen realitätsferne beziehungsweise in keiner Weise kooperative Aussa­gen zu den fehlenden äthiopischen Dokumenten und den Ausreise­modalitäten (A 7/23 Antworten 4 ff., 78 ff. und 178 ff.). Die Beschwerdeargu­mente rechtfertigen keine andere Beurteilung der angebli­chen Gefährdungslage. Vielmehr wird in der Rechtsschrift einge­räumt, die Beschwerdeführerin sei "nicht direkt individuell politisch verfolgt". Das weitere Be­schwerde­vor­bringen, wonach sie staatenlos sei, widerspricht zum einen ih­ren bisherigen Angaben zur eritreischen Staatsbürgerschaft. Zum ande­ren rechtfertigt sich in Anbetracht des Vorgebrachten ohnehin, zumindest von einer ihr zustehenden Aufenthaltsbewilligung im mutmasslichen Her­kunftsland Äthiopien auszugehen beziehungsweise diesen Staat als ihren Heimatstaat zu qualifizieren.</w:t>
      </w:r>
    </w:p>
    <w:p>
      <w:r>
        <w:rPr>
          <w:b/>
        </w:rPr>
        <w:t>E. 4.2</w:t>
      </w:r>
    </w:p>
    <w:p>
      <w:r>
        <w:t>Unter Berücksichtigung der gesamten Umstände folgt, dass die Be­schwerdeführerin keine Gründe nach Art. 3 AsylG nachweisen oder glaub­haft machen konnte. Es erübrigt sich, auf weitere Beschwerdevorbrin­gen und die Beweismittel im Asylpunkt detaillierter einzu­gehen. Die Vorinstanz hat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(vgl. BVGE 2009/50 E. 9 S. 733 m.w.H.).</w:t>
      </w:r>
    </w:p>
    <w:p>
      <w:r>
        <w:rPr>
          <w:b/>
        </w:rPr>
        <w:t>E. 5.2</w:t>
      </w:r>
    </w:p>
    <w:p>
      <w:r>
        <w:t>Die Zulässigkeit, Zumutbarkeit und Möglichkeit des Vollzugs (Art. 44 Abs. 2 AsylG i.V.m. Art. 83 des Bundesgesetzes vom 16. Dezember 2005 über die Ausländerinnen und Ausländer [AuG, SR 142.20]) sind grundsätz­lich von Amtes wegen zu prüfen; diese Untersuchungspflicht fin­det jedoch nach Treu und Glauben ihre Grenzen an der Mitwirkungs­pflicht der asylsuchenden Person, die im Übrigen auch die Substanziie­rungslast trägt (Art. 7 und 8 AsylG). Somit hat die Beschwerdeführerin die Folgen der von ihr nicht rechtsgenüglich nachgewiesenen tatsächlichen Identität verbunden mit nicht glaubhaften Schilderungen ihrer Situation in Äthiopien zu tragen, indem nur eine eingeschränkte Prüfung von Vollzugshin­dernissen erfolgt; es kann grundsätzlich nicht Sache der Asylbe­hörden sein, nach hypothetischen Wegweisungshindernissen im mutmasslichen Herkunftsland zu forschen. Vielmehr können im Rahmen der freien Beweiswürdigung (Art. 40 des Bun­desgesetzes vom 4. Dezember 1947 über den Bundeszivilprozess [BZP, SR 273] i.V.m. Art. 19 VwVG) durchaus Rückschlüsse auf die für sie im Heimat- bzw. Herkunftsland tatsächlich bestehende Situation gezogen werden.</w:t>
      </w:r>
    </w:p>
    <w:p>
      <w:r>
        <w:rPr>
          <w:b/>
        </w:rPr>
        <w:t>E. 5.3</w:t>
      </w:r>
    </w:p>
    <w:p>
      <w:r>
        <w:t>Vor diesem Hintergrund verbleibt im Folgenden zu prüfen, ob auch der vom BFM angeordnete Vollzug der Wegweisung zu bestätigen ist, da das Bundesamt das Anwesenheitsverhältnis nach den gesetzlichen Bestim­mungen über die vorläufige Aufnahme von Ausländern zu regeln hat, wenn sich der Vollzug der Wegweisung als nicht zulässig, nicht zumut­bar oder nicht möglich erweist (vgl. dazu Art. 44 Abs. 2 AsylG i.V.m. Art. 83 Abs. 1 AuG).</w:t>
      </w:r>
    </w:p>
    <w:p>
      <w:r>
        <w:rPr>
          <w:b/>
        </w:rPr>
        <w:t>E. 5.4</w:t>
      </w:r>
    </w:p>
    <w:p>
      <w:r>
        <w:t>Der Vollzug ist nicht zulässig, wenn völkerrechtliche Verpflichtungen der Schweiz einer Weiterreise der Ausländerin oder des Ausländers in den Heimat-, Herkunfts- oder einen Drittstaat entgegenstehen (Art. 83 Abs. 3 AuG). Nachdem es der Beschwerdeführerin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Rückführung nach Äthiopien mit beachtlicher Wahrscheinlichkeit einer nach Art. 3 der Konvention vom 4. November 1950 zum Schutz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spricht nicht gegen den Wegweisungsvollzug. Der Vollzug der Wegweisung erweist sich demnach sowohl im Sinne der asyl- als auch der völkerrechtlichen Bestimmungen als zulässig.</w:t>
      </w:r>
    </w:p>
    <w:p>
      <w:r>
        <w:rPr>
          <w:b/>
        </w:rPr>
        <w:t>E. 5.5</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in Äthio­pien - nach vorstehenden Erwägungen der mutmassliche Herkunfts- bzw. Heimatstaat der Beschwerdeführerin - ist zum heutigen Zeitpunkt je­doch weder von Krieg, noch von Bürgerkrieg oder von allgemeiner Ge­walt gekennzeichnet, so dass der Vollzug der Wegweisung dorthin grund­sätzlich als zumutbar erscheint. Es bestehen auch keine anderen Anhalts­punkte, die darauf schliessen liessen, bei einer Rückkehr nach Äthio­pien wäre die Beschwerdeführerin einer konkreten Gefährdung im Sinne von Art. 83 Abs. 4 AuG ausgesetzt. Den eingereichten Unterlagen zur geltend gemachten Integration in der Schweiz kann entnommen wer­den, dass sie sprachbegabt ist und in einem Restaurationsbetrieb arbei­tet. Gesundheitliche Probleme werden nicht geltend gemacht. Im Weite­ren ist davon auszugehen, dass vor Ort ein sozialer und finanzieller Rück­halt besteht, zumal die Beschwerdeführerin angab, ihr Herkunfts- bzw. Heimatland mit der fi­nanziellen Hilfe einer Drittperson auf dem Luftweg verlassen zu haben. Die genauen sozialen Verhältnisse in ihrem Herkunftsgebiet bleiben nach dem Gesagten indes im Dunkeln und sind vom Gericht nicht näher zu eruie­ren. Jedenfalls darf gestützt auf die bestehenden Akten der Schluss ge­zogen werden, dass sie im Herkunfts- bzw. Heimatland nicht in eine existenzbedrohende Lage geraten wird. Nachdem ihre konkreten Lebensumstände in Äthio­pien wegen ihres Aussageverhaltens nicht vollständig geklärt sind, kann auch nicht davon ausgegangen werden, sie gerate als alleinstehende zu­rückkehrende Person in eine solche Lage (vgl. BVGE 2011/25 E. 8.4).</w:t>
      </w:r>
    </w:p>
    <w:p>
      <w:r>
        <w:rPr>
          <w:b/>
        </w:rPr>
        <w:t>E. 5.6</w:t>
      </w:r>
    </w:p>
    <w:p>
      <w:r>
        <w:t>Schliesslich ist der Vollzug der Wegweisung auch als möglich zu erach­ten (Art. 83 Abs. 2 AuG), da es der Beschwerdeführerin obliegt, an der Beschaffung gültiger Reisepapiere mitzuwirken (Art. 8 Abs. 4 AsylG).</w:t>
      </w:r>
    </w:p>
    <w:p>
      <w:r>
        <w:rPr>
          <w:b/>
        </w:rPr>
        <w:t>E. 5.7</w:t>
      </w:r>
    </w:p>
    <w:p>
      <w:r>
        <w:t>Nach dem Gesagten ist sowohl die Anordnung der Wegweisung aus der Schweiz als auch deren Vollzug zu bestätigen. Die Vorinstanz hat den Wegweisungsvollzug zu Recht als zulässig, zumutbar und möglich erklärt, womit die beantragte Anordnung einer vorläufigen Aufnahme in der Schweiz ausser Betracht fällt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im Resultat abzuweisen.</w:t>
      </w:r>
    </w:p>
    <w:p>
      <w:r>
        <w:rPr>
          <w:b/>
        </w:rPr>
        <w:t>E. 7</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Der genannte Betrag ist durch den in gleicher Höhe geleisteten Kostenvorschuss getilgt.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