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D-1651/2013 vom 19. Juni 2013</w:t>
      </w:r>
    </w:p>
    <w:p>
      <w:r>
        <w:t>Bundesverwaltungsgericht, 2013-06-19, DE</w:t>
      </w:r>
    </w:p>
    <w:p>
      <w:r>
        <w:rPr>
          <w:b/>
        </w:rPr>
        <w:t xml:space="preserve">Quelle: </w:t>
      </w:r>
      <w:r>
        <w:t>https://mcp.opencaselaw.ch/entscheid/bvger_D-1651_2013</w:t>
      </w:r>
    </w:p>
    <w:p>
      <w:r>
        <w:t>FR: TAF D-1651/2013 du 19 juin 2013</w:t>
      </w:r>
    </w:p>
    <w:p>
      <w:r>
        <w:t>IT: TAF D-1651/2013 del 19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w:t>
      </w:r>
    </w:p>
    <w:p>
      <w:r>
        <w:rPr>
          <w:b/>
        </w:rPr>
        <w:t>E. 2</w:t>
      </w:r>
    </w:p>
    <w:p>
      <w:r>
        <w:t>Der Beschwerdeführer wurde mit Verfügung des BFM vom 25. Februar 2013 in der Schweiz vorläufig aufgenommen (vgl. Dispositivziffern 4-7). In der vorliegend zu behandelnden Beschwerde wurde die Aufhebung der Dispositivziffern 1-3 begehrt. Demnach ist die Verfügung des BFM vom 25. Februar 2013, soweit sie sich auf den Wegweisungsvollzugspunkt bezieht, in Rechtskraft erwachsen. Hinsichtlich des Asyl- und Wegweisungspunkts besitzt der Beschwerdeführer ein schutzwürdiges Interesse an der Aufhebung beziehungsweise Änderung der angefochtenen Verfügung. Er ist daher zur Einreichung der Beschwerde legitimiert (Art. 105 und Art. 108 Abs. 1 AsylG, Art. 48 Abs. 1 sowie Art. 52 VwVG), und auf die Beschwerde ist in diesen Punkten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werden in der Beschwerde formelle Rügen erhoben. Das BFM habe in der angefochtenen Verfügung die Glaubhaftigkeit des Beschwerdeführers verneint, weil er sich seinen Angaben zufolge über eineinhalb Jahre bei seiner Tante aufgehalten haben will, nachdem er bereits erfahren habe, dass er von den Sicherheitsbehörden gesucht werde. Diesbezüglich habe das BFM lediglich festgehalten, dass dies nicht "mit gesicherten Informationen des BFM bezüglich des Vorgehens syrischer Sicherheitsorgane" übereinstimmend sei. Was hinter dieser Aussage stecke sei unklar. Da der Beschwerdeführer nicht wisse, auf welche Informationen sich die Vorinstanz stütze, sei ihm eine sachgerechte Anfechtung des Entscheides erschwert und die behördliche Begründungspflicht (Art. 29 Abs. 2 der Bundesverfassung der Schweizerischen Eidgenossenschaft vom 18. April 1999 (BV, SR 101) sei verletzt.</w:t>
      </w:r>
    </w:p>
    <w:p>
      <w:r>
        <w:rPr>
          <w:b/>
        </w:rPr>
        <w:t>E. 6.2</w:t>
      </w:r>
    </w:p>
    <w:p>
      <w:r>
        <w:t>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Mit Blick auf die nachfolgende Beurteilung der Asylvorbringen ist festzuhalten, dass die fraglichen Sachverhaltselemente im vor­instanzlichen Verfahren in rechtsgenüglicher Weise abgeklärt wurden. Im vorliegenden Fall besteht auch kein Anlass, auf eine Verletzung der Begründungspflicht im angefochtenen Entscheid zu schliessen. Der Umstand allein, dass sich das BFM bei seiner Prüfung des Asylgesuchs unter anderem auf gesicherte Informationen bezüglich des Vorgehens syrischer Sicherheitsorgane stützte, ist nicht als ungenügende Begründung aufzufassen, zumal das Bundesamt die Vorbringen des Beschwerdeführers einerseits nach den Regeln der Glaubhaftigkeitsprüfung von Aussagen umfassend analysierte und seine Beurteilung in den Text der angefochtenen Verfügung nachvollziehbar einfliessen liess. Zudem wurden diese Aussagen unter dem Blickwinkel des Fachwissens des BFM überprüft, wobei Erfahrungssätze und Fachwissen Tatsachen sind, die in der Regel ohne Beweisverfahren als erstellt angesehen dürfen (vgl. Patrick L. Krauskopf/Katrin Emmenegger, in: Bernhard Waldmann/Philippe Weissenberger [Hrsg.], VwVG, Praxiskommetar zum Bundesgesetz über das Verwaltungsverfahren, Zürich u.a. 2009, Art. 12 N. 169, S. 284). Auch unter Berufung auf das Akteneinsichtsrecht kann es somit nicht darum gehen, Zugang zu irgendwelchen nicht konkret benannten Dokumenten zu erlangen (vgl. Urteil des Bundesverwaltungsgerichts D 3747/2010 vom 13. Juli 2012 E. 3.1.2 S. 9). Im Übrigen stellt der Umstand, dass das BFM eine andere Schlussfolgerung zog als der Beschwerdeführer, keine Verletzung des rechtlichen Gehörs dar, weshalb die entsprechende Rüge nicht gehört werden kann.</w:t>
      </w:r>
    </w:p>
    <w:p>
      <w:r>
        <w:rPr>
          <w:b/>
        </w:rPr>
        <w:t>E. 7.1</w:t>
      </w:r>
    </w:p>
    <w:p>
      <w:r>
        <w:t>Nach Prüfung der Akten durch das Bundesverwaltungsgericht ist - in Übereinstimmung mit der Vorinstanz - festzustellen, dass der Beschwerdeführer die Flüchtlingseigenschaft nicht erfüllt und er im Falle einer Rückkehr in den Heimatstaat nicht befürchten muss, dort ernsthafte Nachteile im Sinne von Art. 3 AsylG zu erleiden. Er erfüllt auch die Flücht­lingseigenschaft im Sinne von Art. 54 AsylG wegen subjektiver Nachfluchtgründe nicht. Auch die auf Beschwerdeebene im Zusammenhang mit dem geltend gemachten exilpolitischen Engagement eingereichten neuen Beweismittel (verschiedene Fotos, die die Teilnahme des Beschwerdeführers an einer Demonstration in einer Schweizer Stadt sowie an einer Parteisitzung der PYD belegen, und ein Flugblatt, welches er an der Demonstration verteilt habe) können die ausführlichen zutreffenden Erwägungen in der angefochtenen Verfügung nicht umstossen. Zur Vermeidung von Wiederholungen wird auf die zutreffenden vorinstanzlichen Erwägungen verwiesen (vgl. Erwägung F.b. vorstehend). Der Beschwerdeführer räumt in seiner Rechtsmitteleingabe selbst ein, dass er bei der Kurzbefragung aus Angst vor einer Rückweisung nach H._______ unsubstantiierte Angaben bezüglich seines Reiseweges gemacht habe. Auch wenn seine Furcht vor einer Rückweisung nach H._______ die unsubstantiierte Schilderung seiner Ausreise bei der Kurzbefragung zu erklären vermag, ist es nicht nachvollziehbar, dass er bei der Anhörung erneut zu Protokoll gab, er sei ohne Papiere von H._______ nach I._______ geflogen, fand doch die Anhörung nach der Aufnahme des nationalen Asylverfahrens statt, womit seine Angst vor einer Rückweisung nach H._______ unbegründet war. Aufschlussreich ist in diesem Zusammenhang, dass sein Reisebegleiter (sein Cousin) bereits bei der Kurzbefragung den Reiseweg korrekt geschildert hat (vgl. A12/3 S. 1), wonach er gemeinsam mit dem Beschwerdeführer [...] geflogen sei. Bei Asylbewerbern, welche die Schweizer Behörden über ihren Reiseweg und ihre Identitätspapiere zu täuschen versuchen, lassen sich negative Schlussfolgerungen bezüglich der geltend gemachten Verfolgung ziehen (vgl. EMARK 1998 Nr. 17 E. 4b). In diesem Zusammenhang gilt es auch zu berücksichtigen, dass der Beschwerdeführer einen syrischen Führerausweis ins Recht gelegt hat, welcher am 3. März 2008 von den syrischen Behörden in M._______ ausgestellt worden ist. Seinen Angaben zufolge will er sich zu diesem Zeitpunkt bei seiner Tante in K._______ versteckt haben (vgl. Erwägung E.a. vorstehend). Auch dieses Verhalten, nämlich die freiwillige Kontaktaufnahme mit den heimatlichen staatlichen Behörden, ist nicht mit demjenigen einer tatsächlich verfolgten Person zu vereinbaren, welche jegliche Verbindung mit den staatlichen Behörden meidet.</w:t>
      </w:r>
    </w:p>
    <w:p>
      <w:r>
        <w:rPr>
          <w:b/>
        </w:rPr>
        <w:t>E. 7.2</w:t>
      </w:r>
    </w:p>
    <w:p>
      <w:r>
        <w:t>Zusammenfassend ist somit festzuhalten, dass es dem Beschwerdeführer nicht gelungen ist, nachzuweisen oder zumindest glaubhaft zu machen, dass er in seiner Heimat ernsthafte Nachteile gemäss Art. 3 AsylG erlitten hat oder solche bei seiner Rückkehr nach Syrien befürchten muss. Die Beschwerdevorbringen und die eingereichten Beweismittel vermögen zu keiner anderen Betrachtungsweise zu führen, weshalb es sich erübrigt, weiter darauf einzugehen. Der Beschwerdeführer erfüllt somit die Voraussetzungen zur Anerkennung der Flüchtlingseigenschaft nicht, weshalb die Vorinstanz das Asylbegehren zur Recht und mit zutreffender Begründung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Der Rechtsvertreter des Beschwerdeführers stellte mit der Be­schwerde unter anderem den Antrag, ihm sei die unentgeltliche Rechts­pflege im Sinne von Art. 65 Abs. 1 VwVG sowie die unentgeltliche Ver­beiständung im Sinne von Abs. 2 VwVG zu gewähren.</w:t>
      </w:r>
    </w:p>
    <w:p>
      <w:r>
        <w:rPr>
          <w:b/>
        </w:rPr>
        <w:t>E. 10.2</w:t>
      </w:r>
    </w:p>
    <w:p>
      <w:r>
        <w:t>Das Gesuch um Gewährung der unentgeltlichen Rechtspflege ge­mäss Art. 65 Abs. 1 VwVG ist abzuweisen, da die Beschwerde aufgrund der vorstehenden Erwägungen als aussichtslos erscheint.</w:t>
      </w:r>
    </w:p>
    <w:p>
      <w:r>
        <w:rPr>
          <w:b/>
        </w:rPr>
        <w:t>E. 10.3</w:t>
      </w:r>
    </w:p>
    <w:p>
      <w:r>
        <w:t>Das Gesuch um unentgeltliche Rechtsverbeiständung im Sinne von Art. 65 Abs. 2 VwVG ist mangels Erfüllung der Voraussetzungen von Art. 65 Abs. 1 VwVG ebenfalls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